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49ED" w14:textId="2F0FA707" w:rsidR="009869D4" w:rsidRPr="00A02669" w:rsidRDefault="009869D4" w:rsidP="009869D4">
      <w:pPr>
        <w:jc w:val="both"/>
        <w:rPr>
          <w:rFonts w:ascii="Times New Roman" w:hAnsi="Times New Roman" w:cs="Times New Roman"/>
          <w:sz w:val="36"/>
          <w:szCs w:val="36"/>
        </w:rPr>
      </w:pPr>
      <w:r w:rsidRPr="00A02669">
        <w:rPr>
          <w:rFonts w:ascii="Times New Roman" w:hAnsi="Times New Roman" w:cs="Times New Roman"/>
          <w:sz w:val="36"/>
          <w:szCs w:val="36"/>
        </w:rPr>
        <w:t>Gospodarka odpadami i ochrona środowiska za 202</w:t>
      </w:r>
      <w:r>
        <w:rPr>
          <w:rFonts w:ascii="Times New Roman" w:hAnsi="Times New Roman" w:cs="Times New Roman"/>
          <w:sz w:val="36"/>
          <w:szCs w:val="36"/>
        </w:rPr>
        <w:t>2</w:t>
      </w:r>
      <w:r w:rsidRPr="00A02669">
        <w:rPr>
          <w:rFonts w:ascii="Times New Roman" w:hAnsi="Times New Roman" w:cs="Times New Roman"/>
          <w:sz w:val="36"/>
          <w:szCs w:val="36"/>
        </w:rPr>
        <w:t xml:space="preserve"> rok</w:t>
      </w:r>
    </w:p>
    <w:p w14:paraId="6662543A" w14:textId="77777777" w:rsidR="00443701" w:rsidRPr="00FF2C45" w:rsidRDefault="00443701">
      <w:pPr>
        <w:rPr>
          <w:rFonts w:cstheme="minorHAnsi"/>
        </w:rPr>
      </w:pPr>
      <w:r w:rsidRPr="00FF2C45">
        <w:rPr>
          <w:rFonts w:cstheme="minorHAnsi"/>
        </w:rPr>
        <w:t>ODPADY</w:t>
      </w:r>
    </w:p>
    <w:p w14:paraId="19EEF01C" w14:textId="6E02396F" w:rsidR="007D47E8" w:rsidRPr="00FF2C45" w:rsidRDefault="00C40C48" w:rsidP="00E703DC">
      <w:pPr>
        <w:jc w:val="both"/>
        <w:rPr>
          <w:rFonts w:cstheme="minorHAnsi"/>
        </w:rPr>
      </w:pPr>
      <w:r w:rsidRPr="00FF2C45">
        <w:rPr>
          <w:rFonts w:cstheme="minorHAnsi"/>
        </w:rPr>
        <w:t>Od 01 lipca 2013 r. w związku z nowelizacją ustawy o utrzymaniu czystości i porządku w gminach, gminy otrzymały nowe zadania dotyczące organizowania odbioru i składowania odpadów komunalnych. Wówczas systemem odbioru odpadów objęto nieruchomości zamieszkałe oraz nieruchomości niezamieszkałe (placówki oświatowe, miejsca prowadzenia działalności gospodarczej itp.). Od lipca 2016 r. systemem odbioru objęte są także wszystkie nieruchomości wykorzystywane w celach rekreacyjnych (domku letniskowe). Wszyscy właściciele nieruchomości są zobowiązani do złożenia do Urzędu Gminy deklaracji o wysokości opłaty za gospodarowanie odpadami oraz do ponoszenia opłat na rzecz Gminy.</w:t>
      </w:r>
    </w:p>
    <w:p w14:paraId="1B90F9E1" w14:textId="1CCB74EE" w:rsidR="00AA7FC1" w:rsidRDefault="006A5F12" w:rsidP="00E703DC">
      <w:pPr>
        <w:jc w:val="both"/>
        <w:rPr>
          <w:bCs/>
          <w:color w:val="000000"/>
          <w:szCs w:val="24"/>
          <w:lang w:eastAsia="pl-PL"/>
        </w:rPr>
      </w:pPr>
      <w:r>
        <w:rPr>
          <w:rFonts w:cstheme="minorHAnsi"/>
        </w:rPr>
        <w:t>W roku 2022 r. nie dokonywano zmian w uchwałach regulujących system gospodarki odpadów komunalnych na terenie gminy Ślemień.</w:t>
      </w:r>
      <w:r>
        <w:rPr>
          <w:bCs/>
          <w:color w:val="000000"/>
          <w:szCs w:val="24"/>
          <w:lang w:eastAsia="pl-PL"/>
        </w:rPr>
        <w:t xml:space="preserve"> Natomiast </w:t>
      </w:r>
      <w:r w:rsidR="00AA7FC1">
        <w:rPr>
          <w:bCs/>
          <w:color w:val="000000"/>
          <w:szCs w:val="24"/>
          <w:lang w:eastAsia="pl-PL"/>
        </w:rPr>
        <w:t xml:space="preserve">ze względu na rosnące koszty systemu gospodarki odpadami koniecznym było </w:t>
      </w:r>
      <w:r w:rsidR="00317B6F">
        <w:rPr>
          <w:bCs/>
          <w:color w:val="000000"/>
          <w:szCs w:val="24"/>
          <w:lang w:eastAsia="pl-PL"/>
        </w:rPr>
        <w:t>ustalenie</w:t>
      </w:r>
      <w:r w:rsidR="00AA7FC1">
        <w:rPr>
          <w:bCs/>
          <w:color w:val="000000"/>
          <w:szCs w:val="24"/>
          <w:lang w:eastAsia="pl-PL"/>
        </w:rPr>
        <w:t xml:space="preserve"> </w:t>
      </w:r>
      <w:r>
        <w:rPr>
          <w:bCs/>
          <w:color w:val="000000"/>
          <w:szCs w:val="24"/>
          <w:lang w:eastAsia="pl-PL"/>
        </w:rPr>
        <w:t>nowej stawki opłaty</w:t>
      </w:r>
      <w:r w:rsidR="00317B6F">
        <w:rPr>
          <w:bCs/>
          <w:color w:val="000000"/>
          <w:szCs w:val="24"/>
          <w:lang w:eastAsia="pl-PL"/>
        </w:rPr>
        <w:t>.</w:t>
      </w:r>
      <w:r w:rsidR="00AA7FC1">
        <w:rPr>
          <w:bCs/>
          <w:color w:val="000000"/>
          <w:szCs w:val="24"/>
          <w:lang w:eastAsia="pl-PL"/>
        </w:rPr>
        <w:t xml:space="preserve"> Uchwał</w:t>
      </w:r>
      <w:r>
        <w:rPr>
          <w:bCs/>
          <w:color w:val="000000"/>
          <w:szCs w:val="24"/>
          <w:lang w:eastAsia="pl-PL"/>
        </w:rPr>
        <w:t>ę</w:t>
      </w:r>
      <w:r w:rsidR="00AA7FC1">
        <w:rPr>
          <w:bCs/>
          <w:color w:val="000000"/>
          <w:szCs w:val="24"/>
          <w:lang w:eastAsia="pl-PL"/>
        </w:rPr>
        <w:t xml:space="preserve"> podjęto</w:t>
      </w:r>
      <w:r w:rsidR="009C50B8">
        <w:rPr>
          <w:bCs/>
          <w:color w:val="000000"/>
          <w:szCs w:val="24"/>
          <w:lang w:eastAsia="pl-PL"/>
        </w:rPr>
        <w:t xml:space="preserve"> w dniu 0</w:t>
      </w:r>
      <w:r>
        <w:rPr>
          <w:bCs/>
          <w:color w:val="000000"/>
          <w:szCs w:val="24"/>
          <w:lang w:eastAsia="pl-PL"/>
        </w:rPr>
        <w:t xml:space="preserve">7.12.2022 </w:t>
      </w:r>
      <w:r w:rsidR="009C50B8">
        <w:rPr>
          <w:bCs/>
          <w:color w:val="000000"/>
          <w:szCs w:val="24"/>
          <w:lang w:eastAsia="pl-PL"/>
        </w:rPr>
        <w:t xml:space="preserve">r. Ustalono opłatę za osobę </w:t>
      </w:r>
      <w:r>
        <w:rPr>
          <w:bCs/>
          <w:color w:val="000000"/>
          <w:szCs w:val="24"/>
          <w:lang w:eastAsia="pl-PL"/>
        </w:rPr>
        <w:t>32</w:t>
      </w:r>
      <w:r w:rsidR="009C50B8">
        <w:rPr>
          <w:bCs/>
          <w:color w:val="000000"/>
          <w:szCs w:val="24"/>
          <w:lang w:eastAsia="pl-PL"/>
        </w:rPr>
        <w:t xml:space="preserve"> zł miesięcznie (poprzednio było </w:t>
      </w:r>
      <w:r>
        <w:rPr>
          <w:bCs/>
          <w:color w:val="000000"/>
          <w:szCs w:val="24"/>
          <w:lang w:eastAsia="pl-PL"/>
        </w:rPr>
        <w:t>27</w:t>
      </w:r>
      <w:r w:rsidR="009C50B8">
        <w:rPr>
          <w:bCs/>
          <w:color w:val="000000"/>
          <w:szCs w:val="24"/>
          <w:lang w:eastAsia="pl-PL"/>
        </w:rPr>
        <w:t xml:space="preserve"> zł)</w:t>
      </w:r>
      <w:r>
        <w:rPr>
          <w:bCs/>
          <w:color w:val="000000"/>
          <w:szCs w:val="24"/>
          <w:lang w:eastAsia="pl-PL"/>
        </w:rPr>
        <w:t>. Nie zmieniono ryczałtu</w:t>
      </w:r>
      <w:r w:rsidR="009C50B8">
        <w:rPr>
          <w:bCs/>
          <w:color w:val="000000"/>
          <w:szCs w:val="24"/>
          <w:lang w:eastAsia="pl-PL"/>
        </w:rPr>
        <w:t xml:space="preserve"> od dom</w:t>
      </w:r>
      <w:r>
        <w:rPr>
          <w:bCs/>
          <w:color w:val="000000"/>
          <w:szCs w:val="24"/>
          <w:lang w:eastAsia="pl-PL"/>
        </w:rPr>
        <w:t>k</w:t>
      </w:r>
      <w:r w:rsidR="009C50B8">
        <w:rPr>
          <w:bCs/>
          <w:color w:val="000000"/>
          <w:szCs w:val="24"/>
          <w:lang w:eastAsia="pl-PL"/>
        </w:rPr>
        <w:t xml:space="preserve">u letniskowego </w:t>
      </w:r>
      <w:r>
        <w:rPr>
          <w:bCs/>
          <w:color w:val="000000"/>
          <w:szCs w:val="24"/>
          <w:lang w:eastAsia="pl-PL"/>
        </w:rPr>
        <w:t>(190 zł rocznie) oraz nie zmieniono opłat dla nieruchomości niezamieszkałych.</w:t>
      </w:r>
      <w:r w:rsidR="00AA7FC1">
        <w:rPr>
          <w:bCs/>
          <w:color w:val="000000"/>
          <w:szCs w:val="24"/>
          <w:lang w:eastAsia="pl-PL"/>
        </w:rPr>
        <w:t xml:space="preserve"> </w:t>
      </w:r>
      <w:r w:rsidR="00317B6F">
        <w:rPr>
          <w:bCs/>
          <w:color w:val="000000"/>
          <w:szCs w:val="24"/>
          <w:lang w:eastAsia="pl-PL"/>
        </w:rPr>
        <w:t>Ulga za kompostownik nie została zmieniona (1 zł miesięcznie za osobę).</w:t>
      </w:r>
    </w:p>
    <w:p w14:paraId="18E159C9" w14:textId="77777777" w:rsidR="009869D4" w:rsidRPr="006A5F12" w:rsidRDefault="009869D4" w:rsidP="00E703DC">
      <w:pPr>
        <w:jc w:val="both"/>
        <w:rPr>
          <w:bCs/>
          <w:color w:val="000000"/>
          <w:szCs w:val="24"/>
          <w:lang w:eastAsia="pl-PL"/>
        </w:rPr>
      </w:pPr>
    </w:p>
    <w:p w14:paraId="360EB845" w14:textId="6CBE6304" w:rsidR="002333B3" w:rsidRPr="00FF2C45" w:rsidRDefault="002333B3" w:rsidP="00333A44">
      <w:pPr>
        <w:spacing w:after="0"/>
        <w:jc w:val="both"/>
        <w:rPr>
          <w:rFonts w:cstheme="minorHAnsi"/>
        </w:rPr>
      </w:pPr>
      <w:r w:rsidRPr="00FF2C45">
        <w:rPr>
          <w:rFonts w:cstheme="minorHAnsi"/>
        </w:rPr>
        <w:t>Zbiorcze zestawienie danych związanych z gospodarką odpadami wg stanu na 31.12.20</w:t>
      </w:r>
      <w:r w:rsidR="00FF2C45">
        <w:rPr>
          <w:rFonts w:cstheme="minorHAnsi"/>
        </w:rPr>
        <w:t>2</w:t>
      </w:r>
      <w:r w:rsidR="006A5F12">
        <w:rPr>
          <w:rFonts w:cstheme="minorHAnsi"/>
        </w:rPr>
        <w:t>1</w:t>
      </w:r>
      <w:r w:rsidRPr="00FF2C45">
        <w:rPr>
          <w:rFonts w:cstheme="minorHAnsi"/>
        </w:rPr>
        <w:t xml:space="preserve"> r.</w:t>
      </w:r>
    </w:p>
    <w:p w14:paraId="3671B344" w14:textId="326EEDEC" w:rsidR="002333B3" w:rsidRPr="00FF2C45" w:rsidRDefault="00740BC4" w:rsidP="00333A44">
      <w:pPr>
        <w:spacing w:after="0"/>
        <w:jc w:val="both"/>
        <w:rPr>
          <w:rFonts w:cstheme="minorHAnsi"/>
        </w:rPr>
      </w:pPr>
      <w:r w:rsidRPr="00FF2C45">
        <w:rPr>
          <w:rFonts w:cstheme="minorHAnsi"/>
        </w:rPr>
        <w:t xml:space="preserve">Systemem gospodarki odpadami objętych było </w:t>
      </w:r>
      <w:r w:rsidR="00DE17BD" w:rsidRPr="00FF2C45">
        <w:rPr>
          <w:rFonts w:cstheme="minorHAnsi"/>
        </w:rPr>
        <w:t>13</w:t>
      </w:r>
      <w:r w:rsidR="006A5F12">
        <w:rPr>
          <w:rFonts w:cstheme="minorHAnsi"/>
        </w:rPr>
        <w:t>85</w:t>
      </w:r>
      <w:r w:rsidRPr="00FF2C45">
        <w:rPr>
          <w:rFonts w:cstheme="minorHAnsi"/>
        </w:rPr>
        <w:t xml:space="preserve"> nieruchomości, w tym:</w:t>
      </w:r>
    </w:p>
    <w:p w14:paraId="04DDFF55" w14:textId="751E465B" w:rsidR="00740BC4" w:rsidRPr="00FF2C45" w:rsidRDefault="00740BC4" w:rsidP="00333A44">
      <w:pPr>
        <w:spacing w:after="0"/>
        <w:jc w:val="both"/>
        <w:rPr>
          <w:rFonts w:cstheme="minorHAnsi"/>
        </w:rPr>
      </w:pPr>
      <w:r w:rsidRPr="00FF2C45">
        <w:rPr>
          <w:rFonts w:cstheme="minorHAnsi"/>
        </w:rPr>
        <w:t xml:space="preserve">- zamieszkałe </w:t>
      </w:r>
      <w:r w:rsidR="00DE17BD" w:rsidRPr="00FF2C45">
        <w:rPr>
          <w:rFonts w:cstheme="minorHAnsi"/>
        </w:rPr>
        <w:t>10</w:t>
      </w:r>
      <w:r w:rsidR="006A5F12">
        <w:rPr>
          <w:rFonts w:cstheme="minorHAnsi"/>
        </w:rPr>
        <w:t>54</w:t>
      </w:r>
      <w:r w:rsidR="00A756E1" w:rsidRPr="00FF2C45">
        <w:rPr>
          <w:rFonts w:cstheme="minorHAnsi"/>
        </w:rPr>
        <w:t>,</w:t>
      </w:r>
    </w:p>
    <w:p w14:paraId="01B884F2" w14:textId="21330AC6" w:rsidR="00740BC4" w:rsidRPr="00FF2C45" w:rsidRDefault="00740BC4" w:rsidP="00333A44">
      <w:pPr>
        <w:spacing w:after="0"/>
        <w:jc w:val="both"/>
        <w:rPr>
          <w:rFonts w:cstheme="minorHAnsi"/>
        </w:rPr>
      </w:pPr>
      <w:r w:rsidRPr="00FF2C45">
        <w:rPr>
          <w:rFonts w:cstheme="minorHAnsi"/>
        </w:rPr>
        <w:t xml:space="preserve">- niezamieszkałe </w:t>
      </w:r>
      <w:r w:rsidR="00A46A52" w:rsidRPr="00FF2C45">
        <w:rPr>
          <w:rFonts w:cstheme="minorHAnsi"/>
        </w:rPr>
        <w:t>4</w:t>
      </w:r>
      <w:r w:rsidR="00DE17BD" w:rsidRPr="00FF2C45">
        <w:rPr>
          <w:rFonts w:cstheme="minorHAnsi"/>
        </w:rPr>
        <w:t>7</w:t>
      </w:r>
      <w:r w:rsidR="00A46A52" w:rsidRPr="00FF2C45">
        <w:rPr>
          <w:rFonts w:cstheme="minorHAnsi"/>
        </w:rPr>
        <w:t>,</w:t>
      </w:r>
    </w:p>
    <w:p w14:paraId="595F1E30" w14:textId="115DD85F" w:rsidR="00740BC4" w:rsidRPr="00FF2C45" w:rsidRDefault="00740BC4" w:rsidP="00333A44">
      <w:pPr>
        <w:spacing w:after="0"/>
        <w:jc w:val="both"/>
        <w:rPr>
          <w:rFonts w:cstheme="minorHAnsi"/>
        </w:rPr>
      </w:pPr>
      <w:r w:rsidRPr="00FF2C45">
        <w:rPr>
          <w:rFonts w:cstheme="minorHAnsi"/>
        </w:rPr>
        <w:t xml:space="preserve">- letniskowe </w:t>
      </w:r>
      <w:r w:rsidR="00A756E1" w:rsidRPr="00FF2C45">
        <w:rPr>
          <w:rFonts w:cstheme="minorHAnsi"/>
        </w:rPr>
        <w:t>2</w:t>
      </w:r>
      <w:r w:rsidR="006A5F12">
        <w:rPr>
          <w:rFonts w:cstheme="minorHAnsi"/>
        </w:rPr>
        <w:t>84</w:t>
      </w:r>
      <w:r w:rsidR="00A756E1" w:rsidRPr="00FF2C45">
        <w:rPr>
          <w:rFonts w:cstheme="minorHAnsi"/>
        </w:rPr>
        <w:t>.</w:t>
      </w:r>
    </w:p>
    <w:p w14:paraId="63871B71" w14:textId="61449557" w:rsidR="00DE17BD" w:rsidRPr="00FF2C45" w:rsidRDefault="00740BC4" w:rsidP="00333A44">
      <w:pPr>
        <w:spacing w:after="0"/>
        <w:jc w:val="both"/>
        <w:rPr>
          <w:rFonts w:cstheme="minorHAnsi"/>
        </w:rPr>
      </w:pPr>
      <w:r w:rsidRPr="00FF2C45">
        <w:rPr>
          <w:rFonts w:cstheme="minorHAnsi"/>
        </w:rPr>
        <w:t>Zadeklarowano 31</w:t>
      </w:r>
      <w:r w:rsidR="006A5F12">
        <w:rPr>
          <w:rFonts w:cstheme="minorHAnsi"/>
        </w:rPr>
        <w:t>4</w:t>
      </w:r>
      <w:r w:rsidR="00DE17BD" w:rsidRPr="00FF2C45">
        <w:rPr>
          <w:rFonts w:cstheme="minorHAnsi"/>
        </w:rPr>
        <w:t>0</w:t>
      </w:r>
      <w:r w:rsidRPr="00FF2C45">
        <w:rPr>
          <w:rFonts w:cstheme="minorHAnsi"/>
        </w:rPr>
        <w:t xml:space="preserve"> osób. </w:t>
      </w:r>
      <w:r w:rsidRPr="007945B1">
        <w:rPr>
          <w:rFonts w:cstheme="minorHAnsi"/>
        </w:rPr>
        <w:t>Jest to 88,</w:t>
      </w:r>
      <w:r w:rsidR="006A5F12">
        <w:rPr>
          <w:rFonts w:cstheme="minorHAnsi"/>
        </w:rPr>
        <w:t>84</w:t>
      </w:r>
      <w:r w:rsidRPr="007945B1">
        <w:rPr>
          <w:rFonts w:cstheme="minorHAnsi"/>
        </w:rPr>
        <w:t>% spośród wszystkich zameldowanych osób na terenie Gminy (na dzień 31.12.20</w:t>
      </w:r>
      <w:r w:rsidR="007945B1" w:rsidRPr="007945B1">
        <w:rPr>
          <w:rFonts w:cstheme="minorHAnsi"/>
        </w:rPr>
        <w:t>2</w:t>
      </w:r>
      <w:r w:rsidR="006A5F12">
        <w:rPr>
          <w:rFonts w:cstheme="minorHAnsi"/>
        </w:rPr>
        <w:t>2</w:t>
      </w:r>
      <w:r w:rsidRPr="007945B1">
        <w:rPr>
          <w:rFonts w:cstheme="minorHAnsi"/>
        </w:rPr>
        <w:t xml:space="preserve"> r. zameldowanych było </w:t>
      </w:r>
      <w:r w:rsidR="007945B1" w:rsidRPr="007945B1">
        <w:rPr>
          <w:rFonts w:cstheme="minorHAnsi"/>
        </w:rPr>
        <w:t>349</w:t>
      </w:r>
      <w:r w:rsidR="006A5F12">
        <w:rPr>
          <w:rFonts w:cstheme="minorHAnsi"/>
        </w:rPr>
        <w:t>5</w:t>
      </w:r>
      <w:r w:rsidRPr="007945B1">
        <w:rPr>
          <w:rFonts w:cstheme="minorHAnsi"/>
        </w:rPr>
        <w:t xml:space="preserve"> osób).</w:t>
      </w:r>
    </w:p>
    <w:p w14:paraId="570DB0C9" w14:textId="77777777" w:rsidR="006A5F12" w:rsidRPr="00FF2C45" w:rsidRDefault="006A5F12" w:rsidP="00E703DC">
      <w:pPr>
        <w:jc w:val="both"/>
        <w:rPr>
          <w:rFonts w:cstheme="minorHAnsi"/>
        </w:rPr>
      </w:pPr>
    </w:p>
    <w:p w14:paraId="355E4146" w14:textId="247FC26A" w:rsidR="00606842" w:rsidRPr="00606842" w:rsidRDefault="00606842" w:rsidP="00606842">
      <w:pPr>
        <w:spacing w:after="0" w:line="240" w:lineRule="auto"/>
        <w:jc w:val="both"/>
        <w:rPr>
          <w:rFonts w:eastAsia="Times New Roman" w:cstheme="minorHAnsi"/>
          <w:lang w:eastAsia="pl-PL"/>
        </w:rPr>
      </w:pPr>
      <w:proofErr w:type="gramStart"/>
      <w:r w:rsidRPr="00606842">
        <w:rPr>
          <w:rFonts w:eastAsia="Times New Roman" w:cstheme="minorHAnsi"/>
          <w:lang w:eastAsia="pl-PL"/>
        </w:rPr>
        <w:t>Wydatki  gospodarowania</w:t>
      </w:r>
      <w:proofErr w:type="gramEnd"/>
      <w:r w:rsidRPr="00606842">
        <w:rPr>
          <w:rFonts w:eastAsia="Times New Roman" w:cstheme="minorHAnsi"/>
          <w:lang w:eastAsia="pl-PL"/>
        </w:rPr>
        <w:t xml:space="preserve"> odpadami w 2021 r. wynosiły</w:t>
      </w:r>
      <w:r w:rsidR="006A5F12">
        <w:rPr>
          <w:rFonts w:eastAsia="Times New Roman" w:cstheme="minorHAnsi"/>
          <w:lang w:eastAsia="pl-PL"/>
        </w:rPr>
        <w:t xml:space="preserve"> 1 069 621,14 zł w tym:</w:t>
      </w:r>
    </w:p>
    <w:p w14:paraId="65E707D2" w14:textId="5C5DDF1D"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xml:space="preserve">- wynagrodzenia + odpis na ZFŚS – </w:t>
      </w:r>
      <w:r w:rsidR="006A5F12">
        <w:rPr>
          <w:rFonts w:eastAsia="Times New Roman" w:cstheme="minorHAnsi"/>
          <w:lang w:eastAsia="pl-PL"/>
        </w:rPr>
        <w:t>79 325,36 zł</w:t>
      </w:r>
    </w:p>
    <w:p w14:paraId="6B23FFE4" w14:textId="56F4C53F"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xml:space="preserve">- wydatki z tytułu odbioru odpadów komunalnych z terenu Gminy Ślemień – </w:t>
      </w:r>
      <w:r w:rsidR="006A5F12">
        <w:rPr>
          <w:rFonts w:eastAsia="Times New Roman" w:cstheme="minorHAnsi"/>
          <w:lang w:eastAsia="pl-PL"/>
        </w:rPr>
        <w:t>944 845,05 zł</w:t>
      </w:r>
    </w:p>
    <w:p w14:paraId="5F1CD0A7" w14:textId="5298D91A"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xml:space="preserve">- wydatki z tyt. opłaty za gotowość przyjęcia w Punkcie Selektywnej Zbiórki Odpadów Komunalnych – </w:t>
      </w:r>
      <w:r w:rsidR="006A5F12">
        <w:rPr>
          <w:rFonts w:eastAsia="Times New Roman" w:cstheme="minorHAnsi"/>
          <w:lang w:eastAsia="pl-PL"/>
        </w:rPr>
        <w:t>30 822,60 zł</w:t>
      </w:r>
    </w:p>
    <w:p w14:paraId="6F7D7633" w14:textId="3C0EA69A"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xml:space="preserve">- usługi pocztowej – </w:t>
      </w:r>
      <w:r w:rsidR="006A5F12">
        <w:rPr>
          <w:rFonts w:eastAsia="Times New Roman" w:cstheme="minorHAnsi"/>
          <w:lang w:eastAsia="pl-PL"/>
        </w:rPr>
        <w:t>3 201,20 zł</w:t>
      </w:r>
    </w:p>
    <w:p w14:paraId="3B2C7312" w14:textId="11565C3A"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xml:space="preserve">- obsługa kasowa prowadzona przez Bank Spółdzielczy w Gilowicach </w:t>
      </w:r>
      <w:r w:rsidR="006A5F12">
        <w:rPr>
          <w:rFonts w:eastAsia="Times New Roman" w:cstheme="minorHAnsi"/>
          <w:lang w:eastAsia="pl-PL"/>
        </w:rPr>
        <w:t>– 913,58</w:t>
      </w:r>
      <w:r w:rsidR="0010460A">
        <w:rPr>
          <w:rFonts w:eastAsia="Times New Roman" w:cstheme="minorHAnsi"/>
          <w:lang w:eastAsia="pl-PL"/>
        </w:rPr>
        <w:t xml:space="preserve"> zł</w:t>
      </w:r>
    </w:p>
    <w:p w14:paraId="33474CC9" w14:textId="4430FBC6"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aktualizację programów + słowniki programowe + szkolenie wdrażające – 4 977,08</w:t>
      </w:r>
      <w:r w:rsidR="0010460A">
        <w:rPr>
          <w:rFonts w:eastAsia="Times New Roman" w:cstheme="minorHAnsi"/>
          <w:lang w:eastAsia="pl-PL"/>
        </w:rPr>
        <w:t xml:space="preserve"> zł</w:t>
      </w:r>
    </w:p>
    <w:p w14:paraId="51598D4A" w14:textId="729E086E"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pozostałe usługi (m.in. wykonanie książeczek oraz wdrożenie formularzy elektronicznych) – 3 215,24</w:t>
      </w:r>
      <w:r w:rsidR="0010460A">
        <w:rPr>
          <w:rFonts w:eastAsia="Times New Roman" w:cstheme="minorHAnsi"/>
          <w:lang w:eastAsia="pl-PL"/>
        </w:rPr>
        <w:t xml:space="preserve"> zł</w:t>
      </w:r>
    </w:p>
    <w:p w14:paraId="738E3AA7" w14:textId="307B736E"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xml:space="preserve">- </w:t>
      </w:r>
      <w:r w:rsidRPr="00606842">
        <w:rPr>
          <w:rFonts w:eastAsia="Times New Roman" w:cstheme="minorHAnsi"/>
          <w:color w:val="000000"/>
          <w:lang w:eastAsia="pl-PL"/>
        </w:rPr>
        <w:t xml:space="preserve">zakup materiałów biurowych, </w:t>
      </w:r>
      <w:r w:rsidRPr="00606842">
        <w:rPr>
          <w:rFonts w:eastAsia="Times New Roman" w:cstheme="minorHAnsi"/>
          <w:lang w:eastAsia="pl-PL"/>
        </w:rPr>
        <w:t xml:space="preserve">tonerów i </w:t>
      </w:r>
      <w:proofErr w:type="gramStart"/>
      <w:r w:rsidRPr="00606842">
        <w:rPr>
          <w:rFonts w:eastAsia="Times New Roman" w:cstheme="minorHAnsi"/>
          <w:lang w:eastAsia="pl-PL"/>
        </w:rPr>
        <w:t>dysku  –</w:t>
      </w:r>
      <w:proofErr w:type="gramEnd"/>
      <w:r w:rsidRPr="00606842">
        <w:rPr>
          <w:rFonts w:eastAsia="Times New Roman" w:cstheme="minorHAnsi"/>
          <w:lang w:eastAsia="pl-PL"/>
        </w:rPr>
        <w:t xml:space="preserve"> </w:t>
      </w:r>
      <w:r w:rsidR="006A5F12">
        <w:rPr>
          <w:rFonts w:eastAsia="Times New Roman" w:cstheme="minorHAnsi"/>
          <w:lang w:eastAsia="pl-PL"/>
        </w:rPr>
        <w:t>1937, 26 zł</w:t>
      </w:r>
    </w:p>
    <w:p w14:paraId="326D12A7" w14:textId="1415122C"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xml:space="preserve">- szkolenia – </w:t>
      </w:r>
      <w:r w:rsidR="0010460A">
        <w:rPr>
          <w:rFonts w:eastAsia="Times New Roman" w:cstheme="minorHAnsi"/>
          <w:lang w:eastAsia="pl-PL"/>
        </w:rPr>
        <w:t>799,00 zł</w:t>
      </w:r>
    </w:p>
    <w:p w14:paraId="1D715F6C" w14:textId="0A68AAE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xml:space="preserve">- koszt delegacji – </w:t>
      </w:r>
      <w:r w:rsidR="0010460A">
        <w:rPr>
          <w:rFonts w:eastAsia="Times New Roman" w:cstheme="minorHAnsi"/>
          <w:lang w:eastAsia="pl-PL"/>
        </w:rPr>
        <w:t>629,61 zł</w:t>
      </w:r>
    </w:p>
    <w:p w14:paraId="6FCBEF20" w14:textId="2BAD3B1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usługi sms – 147,48</w:t>
      </w:r>
      <w:r w:rsidR="0010460A">
        <w:rPr>
          <w:rFonts w:eastAsia="Times New Roman" w:cstheme="minorHAnsi"/>
          <w:lang w:eastAsia="pl-PL"/>
        </w:rPr>
        <w:t xml:space="preserve"> zł</w:t>
      </w:r>
    </w:p>
    <w:p w14:paraId="7DA18220" w14:textId="3D13E20C" w:rsidR="00606842" w:rsidRDefault="00606842" w:rsidP="00606842">
      <w:pPr>
        <w:spacing w:after="0" w:line="240" w:lineRule="auto"/>
        <w:rPr>
          <w:rFonts w:eastAsia="Times New Roman" w:cstheme="minorHAnsi"/>
          <w:lang w:eastAsia="pl-PL"/>
        </w:rPr>
      </w:pPr>
      <w:r w:rsidRPr="00606842">
        <w:rPr>
          <w:rFonts w:eastAsia="Times New Roman" w:cstheme="minorHAnsi"/>
          <w:lang w:eastAsia="pl-PL"/>
        </w:rPr>
        <w:t xml:space="preserve">- koszty egzekucji – </w:t>
      </w:r>
      <w:r w:rsidR="0010460A">
        <w:rPr>
          <w:rFonts w:eastAsia="Times New Roman" w:cstheme="minorHAnsi"/>
          <w:lang w:eastAsia="pl-PL"/>
        </w:rPr>
        <w:t>200,00 zł</w:t>
      </w:r>
    </w:p>
    <w:p w14:paraId="4C3CDCF0" w14:textId="5C8CB5AE" w:rsidR="0010460A" w:rsidRPr="00606842" w:rsidRDefault="0010460A" w:rsidP="00606842">
      <w:pPr>
        <w:spacing w:after="0" w:line="240" w:lineRule="auto"/>
        <w:rPr>
          <w:rFonts w:eastAsia="Times New Roman" w:cstheme="minorHAnsi"/>
          <w:lang w:eastAsia="pl-PL"/>
        </w:rPr>
      </w:pPr>
      <w:r>
        <w:rPr>
          <w:rFonts w:eastAsia="Times New Roman" w:cstheme="minorHAnsi"/>
          <w:lang w:eastAsia="pl-PL"/>
        </w:rPr>
        <w:t>- koszty umowy z pracownikami UG (roznoszenie zawiadomień) - 6800,00 zł</w:t>
      </w:r>
    </w:p>
    <w:p w14:paraId="6B2A88F4" w14:textId="77777777" w:rsidR="00333A44" w:rsidRPr="00333A44" w:rsidRDefault="00333A44" w:rsidP="00333A44">
      <w:pPr>
        <w:spacing w:after="0"/>
        <w:jc w:val="both"/>
        <w:rPr>
          <w:rFonts w:eastAsia="Arial" w:cstheme="minorHAnsi"/>
        </w:rPr>
      </w:pPr>
    </w:p>
    <w:p w14:paraId="7D689703" w14:textId="1F91FE5A" w:rsidR="00333A44" w:rsidRDefault="00333A44" w:rsidP="00453278">
      <w:pPr>
        <w:jc w:val="both"/>
        <w:rPr>
          <w:rFonts w:eastAsia="Arial" w:cstheme="minorHAnsi"/>
        </w:rPr>
      </w:pPr>
      <w:r w:rsidRPr="00333A44">
        <w:rPr>
          <w:rFonts w:eastAsia="Arial" w:cstheme="minorHAnsi"/>
        </w:rPr>
        <w:t>Masa odpadów:</w:t>
      </w:r>
    </w:p>
    <w:p w14:paraId="198246FB" w14:textId="196F2E3D" w:rsidR="009779A4" w:rsidRPr="00C879D2" w:rsidRDefault="00C879D2" w:rsidP="00C879D2">
      <w:pPr>
        <w:ind w:firstLine="709"/>
        <w:jc w:val="both"/>
        <w:rPr>
          <w:rFonts w:cs="Calibri"/>
          <w:bCs/>
        </w:rPr>
      </w:pPr>
      <w:r w:rsidRPr="009366DF">
        <w:rPr>
          <w:rFonts w:cs="Calibri"/>
          <w:bCs/>
        </w:rPr>
        <w:t xml:space="preserve">Do określenia szacunkowej masy przyjęto średnią miesięczną ilość odpadów w gminie Ślemień </w:t>
      </w:r>
      <w:r>
        <w:rPr>
          <w:rFonts w:cs="Calibri"/>
          <w:bCs/>
        </w:rPr>
        <w:t xml:space="preserve">          </w:t>
      </w:r>
      <w:r w:rsidRPr="009366DF">
        <w:rPr>
          <w:rFonts w:cs="Calibri"/>
          <w:bCs/>
        </w:rPr>
        <w:t xml:space="preserve">w ciągu </w:t>
      </w:r>
      <w:r>
        <w:rPr>
          <w:rFonts w:cs="Calibri"/>
          <w:bCs/>
        </w:rPr>
        <w:t>34</w:t>
      </w:r>
      <w:r w:rsidRPr="009366DF">
        <w:rPr>
          <w:rFonts w:cs="Calibri"/>
          <w:bCs/>
        </w:rPr>
        <w:t xml:space="preserve"> miesięcy (rok 2019</w:t>
      </w:r>
      <w:r>
        <w:rPr>
          <w:rFonts w:cs="Calibri"/>
          <w:bCs/>
        </w:rPr>
        <w:t xml:space="preserve">, rok 2020 </w:t>
      </w:r>
      <w:r w:rsidRPr="009366DF">
        <w:rPr>
          <w:rFonts w:cs="Calibri"/>
          <w:bCs/>
        </w:rPr>
        <w:t>oraz okres 01.01.-</w:t>
      </w:r>
      <w:r>
        <w:rPr>
          <w:rFonts w:cs="Calibri"/>
          <w:bCs/>
        </w:rPr>
        <w:t>01.10.</w:t>
      </w:r>
      <w:r w:rsidRPr="009366DF">
        <w:rPr>
          <w:rFonts w:cs="Calibri"/>
          <w:bCs/>
        </w:rPr>
        <w:t>202</w:t>
      </w:r>
      <w:r>
        <w:rPr>
          <w:rFonts w:cs="Calibri"/>
          <w:bCs/>
        </w:rPr>
        <w:t>1</w:t>
      </w:r>
      <w:r w:rsidRPr="009366DF">
        <w:rPr>
          <w:rFonts w:cs="Calibri"/>
          <w:bCs/>
        </w:rPr>
        <w:t xml:space="preserve"> r.) z założeniem </w:t>
      </w:r>
      <w:r>
        <w:rPr>
          <w:rFonts w:cs="Calibri"/>
          <w:bCs/>
        </w:rPr>
        <w:t>5</w:t>
      </w:r>
      <w:r w:rsidRPr="009366DF">
        <w:rPr>
          <w:rFonts w:cs="Calibri"/>
          <w:bCs/>
        </w:rPr>
        <w:t xml:space="preserve">% wzrostu. Wyliczenia dokonano na podstawie danych zawartych w sprawozdaniach oraz zestawieniach </w:t>
      </w:r>
      <w:r w:rsidRPr="009366DF">
        <w:rPr>
          <w:rFonts w:cs="Calibri"/>
          <w:bCs/>
        </w:rPr>
        <w:lastRenderedPageBreak/>
        <w:t>przedsiębiorcy odbierającego odpady komunalne z wszystkich rodzajów nieruchomości z terenu Gminy Ślemień</w:t>
      </w:r>
      <w:r>
        <w:rPr>
          <w:rFonts w:cs="Calibri"/>
          <w:bCs/>
        </w:rPr>
        <w:t>:</w:t>
      </w:r>
    </w:p>
    <w:p w14:paraId="7C82F9BB" w14:textId="77777777" w:rsidR="00C879D2" w:rsidRPr="009366DF" w:rsidRDefault="00C879D2" w:rsidP="00C879D2">
      <w:pPr>
        <w:contextualSpacing/>
        <w:jc w:val="both"/>
        <w:rPr>
          <w:rFonts w:cs="Calibri"/>
        </w:rPr>
      </w:pPr>
    </w:p>
    <w:tbl>
      <w:tblPr>
        <w:tblW w:w="10280"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5"/>
        <w:gridCol w:w="1559"/>
        <w:gridCol w:w="1560"/>
        <w:gridCol w:w="1559"/>
        <w:gridCol w:w="1559"/>
        <w:gridCol w:w="1418"/>
      </w:tblGrid>
      <w:tr w:rsidR="0010460A" w:rsidRPr="00841F3D" w14:paraId="71EB8BF1" w14:textId="5A94C767" w:rsidTr="0010460A">
        <w:trPr>
          <w:trHeight w:val="171"/>
        </w:trPr>
        <w:tc>
          <w:tcPr>
            <w:tcW w:w="2625" w:type="dxa"/>
            <w:shd w:val="clear" w:color="auto" w:fill="auto"/>
            <w:vAlign w:val="center"/>
          </w:tcPr>
          <w:p w14:paraId="47B36B2D" w14:textId="77777777" w:rsidR="0010460A" w:rsidRPr="00841F3D" w:rsidRDefault="0010460A" w:rsidP="0010460A">
            <w:pPr>
              <w:jc w:val="center"/>
              <w:rPr>
                <w:rFonts w:cs="Calibri"/>
                <w:sz w:val="20"/>
                <w:szCs w:val="20"/>
              </w:rPr>
            </w:pPr>
            <w:r w:rsidRPr="00841F3D">
              <w:rPr>
                <w:rFonts w:cs="Calibri"/>
                <w:sz w:val="20"/>
                <w:szCs w:val="20"/>
              </w:rPr>
              <w:t>Rodzaj odebranych odpadów komunalnych</w:t>
            </w:r>
          </w:p>
        </w:tc>
        <w:tc>
          <w:tcPr>
            <w:tcW w:w="1559" w:type="dxa"/>
            <w:shd w:val="clear" w:color="auto" w:fill="auto"/>
            <w:vAlign w:val="center"/>
          </w:tcPr>
          <w:p w14:paraId="49237B15" w14:textId="1D22C37B" w:rsidR="0010460A" w:rsidRPr="00841F3D" w:rsidRDefault="0010460A" w:rsidP="009016F9">
            <w:pPr>
              <w:jc w:val="center"/>
              <w:rPr>
                <w:rFonts w:cs="Calibri"/>
                <w:sz w:val="20"/>
                <w:szCs w:val="20"/>
              </w:rPr>
            </w:pPr>
            <w:r w:rsidRPr="00841F3D">
              <w:rPr>
                <w:rFonts w:cs="Calibri"/>
                <w:sz w:val="20"/>
                <w:szCs w:val="20"/>
              </w:rPr>
              <w:t>Masa odebranych odpadów komunalnych</w:t>
            </w:r>
            <w:r w:rsidRPr="00841F3D">
              <w:rPr>
                <w:rFonts w:cs="Calibri"/>
                <w:sz w:val="20"/>
                <w:szCs w:val="20"/>
                <w:vertAlign w:val="superscript"/>
              </w:rPr>
              <w:t xml:space="preserve"> </w:t>
            </w:r>
            <w:r w:rsidRPr="00841F3D">
              <w:rPr>
                <w:rFonts w:cs="Calibri"/>
                <w:sz w:val="20"/>
                <w:szCs w:val="20"/>
              </w:rPr>
              <w:t>[</w:t>
            </w:r>
            <w:proofErr w:type="gramStart"/>
            <w:r w:rsidRPr="00841F3D">
              <w:rPr>
                <w:rFonts w:cs="Calibri"/>
                <w:sz w:val="20"/>
                <w:szCs w:val="20"/>
              </w:rPr>
              <w:t xml:space="preserve">Mg]   </w:t>
            </w:r>
            <w:proofErr w:type="gramEnd"/>
            <w:r w:rsidRPr="00841F3D">
              <w:rPr>
                <w:rFonts w:cs="Calibri"/>
                <w:sz w:val="20"/>
                <w:szCs w:val="20"/>
              </w:rPr>
              <w:t xml:space="preserve">w </w:t>
            </w:r>
            <w:r w:rsidRPr="00841F3D">
              <w:rPr>
                <w:rFonts w:cs="Calibri"/>
                <w:b/>
                <w:sz w:val="20"/>
                <w:szCs w:val="20"/>
              </w:rPr>
              <w:t>2019 r.</w:t>
            </w:r>
          </w:p>
        </w:tc>
        <w:tc>
          <w:tcPr>
            <w:tcW w:w="1560" w:type="dxa"/>
            <w:vAlign w:val="center"/>
          </w:tcPr>
          <w:p w14:paraId="7135B762" w14:textId="77777777" w:rsidR="0010460A" w:rsidRPr="00841F3D" w:rsidRDefault="0010460A" w:rsidP="009016F9">
            <w:pPr>
              <w:jc w:val="center"/>
              <w:rPr>
                <w:rFonts w:cs="Calibri"/>
                <w:sz w:val="20"/>
                <w:szCs w:val="20"/>
              </w:rPr>
            </w:pPr>
            <w:r w:rsidRPr="00841F3D">
              <w:rPr>
                <w:rFonts w:cs="Calibri"/>
                <w:sz w:val="20"/>
                <w:szCs w:val="20"/>
              </w:rPr>
              <w:t>Masa odebranych odpadów komunalnych</w:t>
            </w:r>
            <w:r w:rsidRPr="00841F3D">
              <w:rPr>
                <w:rFonts w:cs="Calibri"/>
                <w:sz w:val="20"/>
                <w:szCs w:val="20"/>
                <w:vertAlign w:val="superscript"/>
              </w:rPr>
              <w:t xml:space="preserve"> </w:t>
            </w:r>
            <w:r w:rsidRPr="00841F3D">
              <w:rPr>
                <w:rFonts w:cs="Calibri"/>
                <w:sz w:val="20"/>
                <w:szCs w:val="20"/>
              </w:rPr>
              <w:t>[</w:t>
            </w:r>
            <w:proofErr w:type="gramStart"/>
            <w:r w:rsidRPr="00841F3D">
              <w:rPr>
                <w:rFonts w:cs="Calibri"/>
                <w:sz w:val="20"/>
                <w:szCs w:val="20"/>
              </w:rPr>
              <w:t xml:space="preserve">Mg]   </w:t>
            </w:r>
            <w:proofErr w:type="gramEnd"/>
            <w:r w:rsidRPr="00841F3D">
              <w:rPr>
                <w:rFonts w:cs="Calibri"/>
                <w:sz w:val="20"/>
                <w:szCs w:val="20"/>
              </w:rPr>
              <w:t>w</w:t>
            </w:r>
            <w:r w:rsidRPr="00841F3D">
              <w:rPr>
                <w:rFonts w:cs="Calibri"/>
                <w:b/>
                <w:bCs/>
                <w:sz w:val="20"/>
                <w:szCs w:val="20"/>
              </w:rPr>
              <w:t xml:space="preserve"> 2020</w:t>
            </w:r>
            <w:r w:rsidRPr="00841F3D">
              <w:rPr>
                <w:rFonts w:cs="Calibri"/>
                <w:b/>
                <w:sz w:val="20"/>
                <w:szCs w:val="20"/>
              </w:rPr>
              <w:t xml:space="preserve"> r.</w:t>
            </w:r>
          </w:p>
        </w:tc>
        <w:tc>
          <w:tcPr>
            <w:tcW w:w="1559" w:type="dxa"/>
          </w:tcPr>
          <w:p w14:paraId="34C913E0" w14:textId="72513F9F" w:rsidR="0010460A" w:rsidRPr="00841F3D" w:rsidRDefault="0010460A" w:rsidP="009016F9">
            <w:pPr>
              <w:jc w:val="center"/>
              <w:rPr>
                <w:rFonts w:cs="Calibri"/>
                <w:sz w:val="20"/>
                <w:szCs w:val="20"/>
              </w:rPr>
            </w:pPr>
            <w:r w:rsidRPr="00841F3D">
              <w:rPr>
                <w:rFonts w:cs="Calibri"/>
                <w:sz w:val="20"/>
                <w:szCs w:val="20"/>
              </w:rPr>
              <w:t>Masa odebranych odpadów komunalnych</w:t>
            </w:r>
            <w:r w:rsidRPr="00841F3D">
              <w:rPr>
                <w:rFonts w:cs="Calibri"/>
                <w:sz w:val="20"/>
                <w:szCs w:val="20"/>
                <w:vertAlign w:val="superscript"/>
              </w:rPr>
              <w:t xml:space="preserve"> </w:t>
            </w:r>
            <w:r w:rsidRPr="00841F3D">
              <w:rPr>
                <w:rFonts w:cs="Calibri"/>
                <w:sz w:val="20"/>
                <w:szCs w:val="20"/>
              </w:rPr>
              <w:t>[</w:t>
            </w:r>
            <w:proofErr w:type="gramStart"/>
            <w:r w:rsidRPr="00841F3D">
              <w:rPr>
                <w:rFonts w:cs="Calibri"/>
                <w:sz w:val="20"/>
                <w:szCs w:val="20"/>
              </w:rPr>
              <w:t xml:space="preserve">Mg]   </w:t>
            </w:r>
            <w:proofErr w:type="gramEnd"/>
            <w:r>
              <w:rPr>
                <w:rFonts w:cs="Calibri"/>
                <w:sz w:val="20"/>
                <w:szCs w:val="20"/>
              </w:rPr>
              <w:t xml:space="preserve">w </w:t>
            </w:r>
            <w:r>
              <w:rPr>
                <w:rFonts w:cs="Calibri"/>
                <w:b/>
                <w:bCs/>
                <w:sz w:val="20"/>
                <w:szCs w:val="20"/>
              </w:rPr>
              <w:t>2021</w:t>
            </w:r>
            <w:r w:rsidRPr="00841F3D">
              <w:rPr>
                <w:rFonts w:cs="Calibri"/>
                <w:b/>
                <w:sz w:val="20"/>
                <w:szCs w:val="20"/>
              </w:rPr>
              <w:t xml:space="preserve"> r.</w:t>
            </w:r>
          </w:p>
        </w:tc>
        <w:tc>
          <w:tcPr>
            <w:tcW w:w="1559" w:type="dxa"/>
          </w:tcPr>
          <w:p w14:paraId="210C5A29" w14:textId="2924423E" w:rsidR="0010460A" w:rsidRPr="00841F3D" w:rsidRDefault="0010460A" w:rsidP="009016F9">
            <w:pPr>
              <w:jc w:val="center"/>
              <w:rPr>
                <w:rFonts w:cs="Calibri"/>
                <w:sz w:val="20"/>
                <w:szCs w:val="20"/>
              </w:rPr>
            </w:pPr>
            <w:r w:rsidRPr="00841F3D">
              <w:rPr>
                <w:rFonts w:cs="Calibri"/>
                <w:sz w:val="20"/>
                <w:szCs w:val="20"/>
              </w:rPr>
              <w:t>Masa odebranych odpadów komunalnych</w:t>
            </w:r>
            <w:r w:rsidRPr="00841F3D">
              <w:rPr>
                <w:rFonts w:cs="Calibri"/>
                <w:sz w:val="20"/>
                <w:szCs w:val="20"/>
                <w:vertAlign w:val="superscript"/>
              </w:rPr>
              <w:t xml:space="preserve"> </w:t>
            </w:r>
            <w:r w:rsidRPr="00841F3D">
              <w:rPr>
                <w:rFonts w:cs="Calibri"/>
                <w:sz w:val="20"/>
                <w:szCs w:val="20"/>
              </w:rPr>
              <w:t>[</w:t>
            </w:r>
            <w:proofErr w:type="gramStart"/>
            <w:r w:rsidRPr="00841F3D">
              <w:rPr>
                <w:rFonts w:cs="Calibri"/>
                <w:sz w:val="20"/>
                <w:szCs w:val="20"/>
              </w:rPr>
              <w:t xml:space="preserve">Mg]   </w:t>
            </w:r>
            <w:proofErr w:type="gramEnd"/>
            <w:r>
              <w:rPr>
                <w:rFonts w:cs="Calibri"/>
                <w:sz w:val="20"/>
                <w:szCs w:val="20"/>
              </w:rPr>
              <w:t xml:space="preserve">w </w:t>
            </w:r>
            <w:r>
              <w:rPr>
                <w:rFonts w:cs="Calibri"/>
                <w:b/>
                <w:bCs/>
                <w:sz w:val="20"/>
                <w:szCs w:val="20"/>
              </w:rPr>
              <w:t>2022</w:t>
            </w:r>
            <w:r w:rsidRPr="00841F3D">
              <w:rPr>
                <w:rFonts w:cs="Calibri"/>
                <w:b/>
                <w:sz w:val="20"/>
                <w:szCs w:val="20"/>
              </w:rPr>
              <w:t xml:space="preserve"> r</w:t>
            </w:r>
          </w:p>
        </w:tc>
        <w:tc>
          <w:tcPr>
            <w:tcW w:w="1418" w:type="dxa"/>
          </w:tcPr>
          <w:p w14:paraId="18B2AA70" w14:textId="72BF61F6" w:rsidR="0010460A" w:rsidRPr="00841F3D" w:rsidRDefault="0010460A" w:rsidP="009016F9">
            <w:pPr>
              <w:jc w:val="center"/>
              <w:rPr>
                <w:rFonts w:cs="Calibri"/>
                <w:sz w:val="20"/>
                <w:szCs w:val="20"/>
              </w:rPr>
            </w:pPr>
            <w:r>
              <w:rPr>
                <w:rFonts w:cs="Calibri"/>
                <w:sz w:val="20"/>
                <w:szCs w:val="20"/>
              </w:rPr>
              <w:t>Przewidywana masa</w:t>
            </w:r>
            <w:r w:rsidRPr="00841F3D">
              <w:rPr>
                <w:rFonts w:cs="Calibri"/>
                <w:sz w:val="20"/>
                <w:szCs w:val="20"/>
              </w:rPr>
              <w:t xml:space="preserve"> odpadów komunalnych</w:t>
            </w:r>
            <w:r w:rsidRPr="00841F3D">
              <w:rPr>
                <w:rFonts w:cs="Calibri"/>
                <w:sz w:val="20"/>
                <w:szCs w:val="20"/>
                <w:vertAlign w:val="superscript"/>
              </w:rPr>
              <w:t xml:space="preserve"> </w:t>
            </w:r>
            <w:r w:rsidRPr="00841F3D">
              <w:rPr>
                <w:rFonts w:cs="Calibri"/>
                <w:sz w:val="20"/>
                <w:szCs w:val="20"/>
              </w:rPr>
              <w:t>[</w:t>
            </w:r>
            <w:proofErr w:type="gramStart"/>
            <w:r w:rsidRPr="00841F3D">
              <w:rPr>
                <w:rFonts w:cs="Calibri"/>
                <w:sz w:val="20"/>
                <w:szCs w:val="20"/>
              </w:rPr>
              <w:t xml:space="preserve">Mg]   </w:t>
            </w:r>
            <w:proofErr w:type="gramEnd"/>
            <w:r>
              <w:rPr>
                <w:rFonts w:cs="Calibri"/>
                <w:sz w:val="20"/>
                <w:szCs w:val="20"/>
              </w:rPr>
              <w:t xml:space="preserve">w </w:t>
            </w:r>
            <w:r>
              <w:rPr>
                <w:rFonts w:cs="Calibri"/>
                <w:b/>
                <w:bCs/>
                <w:sz w:val="20"/>
                <w:szCs w:val="20"/>
              </w:rPr>
              <w:t>2023 r.</w:t>
            </w:r>
          </w:p>
        </w:tc>
      </w:tr>
      <w:tr w:rsidR="0010460A" w:rsidRPr="00841F3D" w14:paraId="663CA656" w14:textId="1941535F" w:rsidTr="005B74B2">
        <w:trPr>
          <w:trHeight w:val="171"/>
        </w:trPr>
        <w:tc>
          <w:tcPr>
            <w:tcW w:w="2625" w:type="dxa"/>
            <w:shd w:val="clear" w:color="auto" w:fill="auto"/>
            <w:vAlign w:val="bottom"/>
          </w:tcPr>
          <w:p w14:paraId="74648D77" w14:textId="77777777" w:rsidR="0010460A" w:rsidRPr="00841F3D" w:rsidRDefault="0010460A" w:rsidP="0010460A">
            <w:pPr>
              <w:jc w:val="center"/>
              <w:rPr>
                <w:rFonts w:cs="Calibri"/>
                <w:sz w:val="20"/>
                <w:szCs w:val="20"/>
              </w:rPr>
            </w:pPr>
            <w:r w:rsidRPr="00841F3D">
              <w:rPr>
                <w:rFonts w:cs="Calibri"/>
                <w:sz w:val="20"/>
                <w:szCs w:val="20"/>
              </w:rPr>
              <w:t>Opakowania z tworzyw sztucznych</w:t>
            </w:r>
          </w:p>
        </w:tc>
        <w:tc>
          <w:tcPr>
            <w:tcW w:w="1559" w:type="dxa"/>
            <w:shd w:val="clear" w:color="auto" w:fill="auto"/>
            <w:vAlign w:val="center"/>
          </w:tcPr>
          <w:p w14:paraId="5094043E" w14:textId="77777777" w:rsidR="0010460A" w:rsidRPr="00841F3D" w:rsidRDefault="0010460A" w:rsidP="009016F9">
            <w:pPr>
              <w:jc w:val="center"/>
              <w:rPr>
                <w:rFonts w:cs="Calibri"/>
                <w:sz w:val="20"/>
                <w:szCs w:val="20"/>
              </w:rPr>
            </w:pPr>
            <w:r w:rsidRPr="00841F3D">
              <w:rPr>
                <w:rFonts w:cs="Calibri"/>
                <w:sz w:val="20"/>
                <w:szCs w:val="20"/>
              </w:rPr>
              <w:t>83,14</w:t>
            </w:r>
          </w:p>
        </w:tc>
        <w:tc>
          <w:tcPr>
            <w:tcW w:w="1560" w:type="dxa"/>
            <w:vAlign w:val="center"/>
          </w:tcPr>
          <w:p w14:paraId="59739BA8" w14:textId="77777777" w:rsidR="0010460A" w:rsidRPr="00841F3D" w:rsidRDefault="0010460A" w:rsidP="009016F9">
            <w:pPr>
              <w:jc w:val="center"/>
              <w:rPr>
                <w:rFonts w:cs="Calibri"/>
                <w:sz w:val="20"/>
                <w:szCs w:val="20"/>
              </w:rPr>
            </w:pPr>
            <w:r w:rsidRPr="00841F3D">
              <w:rPr>
                <w:rFonts w:cs="Calibri"/>
                <w:sz w:val="20"/>
                <w:szCs w:val="20"/>
              </w:rPr>
              <w:t>92,62</w:t>
            </w:r>
          </w:p>
        </w:tc>
        <w:tc>
          <w:tcPr>
            <w:tcW w:w="1559" w:type="dxa"/>
            <w:vAlign w:val="center"/>
          </w:tcPr>
          <w:p w14:paraId="432773C4" w14:textId="143A139A" w:rsidR="0010460A" w:rsidRPr="00841F3D" w:rsidRDefault="005B74B2" w:rsidP="009016F9">
            <w:pPr>
              <w:jc w:val="center"/>
              <w:rPr>
                <w:rFonts w:cs="Calibri"/>
                <w:sz w:val="20"/>
                <w:szCs w:val="20"/>
              </w:rPr>
            </w:pPr>
            <w:r>
              <w:rPr>
                <w:rFonts w:cs="Calibri"/>
                <w:sz w:val="20"/>
                <w:szCs w:val="20"/>
              </w:rPr>
              <w:t>100,33</w:t>
            </w:r>
          </w:p>
        </w:tc>
        <w:tc>
          <w:tcPr>
            <w:tcW w:w="1559" w:type="dxa"/>
            <w:vAlign w:val="center"/>
          </w:tcPr>
          <w:p w14:paraId="5B910A15" w14:textId="66181DB4" w:rsidR="0010460A" w:rsidRPr="00841F3D" w:rsidRDefault="0010460A" w:rsidP="009016F9">
            <w:pPr>
              <w:jc w:val="center"/>
              <w:rPr>
                <w:rFonts w:cs="Calibri"/>
                <w:sz w:val="20"/>
                <w:szCs w:val="20"/>
              </w:rPr>
            </w:pPr>
            <w:r>
              <w:rPr>
                <w:rFonts w:cs="Calibri"/>
                <w:sz w:val="20"/>
                <w:szCs w:val="20"/>
              </w:rPr>
              <w:t>127,30</w:t>
            </w:r>
          </w:p>
        </w:tc>
        <w:tc>
          <w:tcPr>
            <w:tcW w:w="1418" w:type="dxa"/>
            <w:vAlign w:val="center"/>
          </w:tcPr>
          <w:p w14:paraId="7A281E54" w14:textId="35F634DB" w:rsidR="0010460A" w:rsidRDefault="005B74B2" w:rsidP="009016F9">
            <w:pPr>
              <w:jc w:val="center"/>
              <w:rPr>
                <w:rFonts w:cs="Calibri"/>
                <w:sz w:val="20"/>
                <w:szCs w:val="20"/>
              </w:rPr>
            </w:pPr>
            <w:r>
              <w:rPr>
                <w:rFonts w:cs="Calibri"/>
                <w:sz w:val="20"/>
                <w:szCs w:val="20"/>
              </w:rPr>
              <w:t>120,00</w:t>
            </w:r>
          </w:p>
        </w:tc>
      </w:tr>
      <w:tr w:rsidR="0010460A" w:rsidRPr="00841F3D" w14:paraId="2E8D1701" w14:textId="70206CE8" w:rsidTr="005B74B2">
        <w:trPr>
          <w:trHeight w:val="171"/>
        </w:trPr>
        <w:tc>
          <w:tcPr>
            <w:tcW w:w="2625" w:type="dxa"/>
            <w:shd w:val="clear" w:color="auto" w:fill="auto"/>
            <w:vAlign w:val="bottom"/>
          </w:tcPr>
          <w:p w14:paraId="3FC621DC" w14:textId="77777777" w:rsidR="0010460A" w:rsidRPr="00841F3D" w:rsidRDefault="0010460A" w:rsidP="0010460A">
            <w:pPr>
              <w:jc w:val="center"/>
              <w:rPr>
                <w:rFonts w:cs="Calibri"/>
                <w:sz w:val="20"/>
                <w:szCs w:val="20"/>
              </w:rPr>
            </w:pPr>
            <w:r w:rsidRPr="00841F3D">
              <w:rPr>
                <w:rFonts w:cs="Calibri"/>
                <w:sz w:val="20"/>
                <w:szCs w:val="20"/>
              </w:rPr>
              <w:t>Opakowania ze szkła</w:t>
            </w:r>
          </w:p>
        </w:tc>
        <w:tc>
          <w:tcPr>
            <w:tcW w:w="1559" w:type="dxa"/>
            <w:shd w:val="clear" w:color="auto" w:fill="auto"/>
            <w:vAlign w:val="center"/>
          </w:tcPr>
          <w:p w14:paraId="2F0DCEFD" w14:textId="77777777" w:rsidR="0010460A" w:rsidRPr="00841F3D" w:rsidRDefault="0010460A" w:rsidP="009016F9">
            <w:pPr>
              <w:jc w:val="center"/>
              <w:rPr>
                <w:rFonts w:cs="Calibri"/>
                <w:sz w:val="20"/>
                <w:szCs w:val="20"/>
              </w:rPr>
            </w:pPr>
            <w:r w:rsidRPr="00841F3D">
              <w:rPr>
                <w:rFonts w:cs="Calibri"/>
                <w:sz w:val="20"/>
                <w:szCs w:val="20"/>
              </w:rPr>
              <w:t>80,32</w:t>
            </w:r>
          </w:p>
        </w:tc>
        <w:tc>
          <w:tcPr>
            <w:tcW w:w="1560" w:type="dxa"/>
            <w:vAlign w:val="center"/>
          </w:tcPr>
          <w:p w14:paraId="3FCA8020" w14:textId="77777777" w:rsidR="0010460A" w:rsidRPr="00841F3D" w:rsidRDefault="0010460A" w:rsidP="009016F9">
            <w:pPr>
              <w:jc w:val="center"/>
              <w:rPr>
                <w:rFonts w:cs="Calibri"/>
                <w:sz w:val="20"/>
                <w:szCs w:val="20"/>
              </w:rPr>
            </w:pPr>
            <w:r w:rsidRPr="00841F3D">
              <w:rPr>
                <w:rFonts w:cs="Calibri"/>
                <w:sz w:val="20"/>
                <w:szCs w:val="20"/>
              </w:rPr>
              <w:t>86,44</w:t>
            </w:r>
          </w:p>
        </w:tc>
        <w:tc>
          <w:tcPr>
            <w:tcW w:w="1559" w:type="dxa"/>
            <w:vAlign w:val="center"/>
          </w:tcPr>
          <w:p w14:paraId="56A218A6" w14:textId="040B5EF4" w:rsidR="0010460A" w:rsidRPr="00841F3D" w:rsidRDefault="005B74B2" w:rsidP="009016F9">
            <w:pPr>
              <w:jc w:val="center"/>
              <w:rPr>
                <w:rFonts w:cs="Calibri"/>
                <w:sz w:val="20"/>
                <w:szCs w:val="20"/>
              </w:rPr>
            </w:pPr>
            <w:r>
              <w:rPr>
                <w:rFonts w:cs="Calibri"/>
                <w:sz w:val="20"/>
                <w:szCs w:val="20"/>
              </w:rPr>
              <w:t>87,84</w:t>
            </w:r>
          </w:p>
        </w:tc>
        <w:tc>
          <w:tcPr>
            <w:tcW w:w="1559" w:type="dxa"/>
            <w:vAlign w:val="center"/>
          </w:tcPr>
          <w:p w14:paraId="23988E05" w14:textId="2303042C" w:rsidR="0010460A" w:rsidRPr="00841F3D" w:rsidRDefault="0010460A" w:rsidP="009016F9">
            <w:pPr>
              <w:jc w:val="center"/>
              <w:rPr>
                <w:rFonts w:cs="Calibri"/>
                <w:sz w:val="20"/>
                <w:szCs w:val="20"/>
              </w:rPr>
            </w:pPr>
            <w:r>
              <w:rPr>
                <w:rFonts w:cs="Calibri"/>
                <w:sz w:val="20"/>
                <w:szCs w:val="20"/>
              </w:rPr>
              <w:t>79,60</w:t>
            </w:r>
          </w:p>
        </w:tc>
        <w:tc>
          <w:tcPr>
            <w:tcW w:w="1418" w:type="dxa"/>
            <w:vAlign w:val="center"/>
          </w:tcPr>
          <w:p w14:paraId="26FEEBCE" w14:textId="3EE0179A" w:rsidR="0010460A" w:rsidRDefault="005B74B2" w:rsidP="009016F9">
            <w:pPr>
              <w:jc w:val="center"/>
              <w:rPr>
                <w:rFonts w:cs="Calibri"/>
                <w:sz w:val="20"/>
                <w:szCs w:val="20"/>
              </w:rPr>
            </w:pPr>
            <w:r>
              <w:rPr>
                <w:rFonts w:cs="Calibri"/>
                <w:sz w:val="20"/>
                <w:szCs w:val="20"/>
              </w:rPr>
              <w:t>88,00</w:t>
            </w:r>
          </w:p>
        </w:tc>
      </w:tr>
      <w:tr w:rsidR="0010460A" w:rsidRPr="00841F3D" w14:paraId="62F7FCA6" w14:textId="1CA90A7D" w:rsidTr="005B74B2">
        <w:trPr>
          <w:trHeight w:val="171"/>
        </w:trPr>
        <w:tc>
          <w:tcPr>
            <w:tcW w:w="2625" w:type="dxa"/>
            <w:shd w:val="clear" w:color="auto" w:fill="auto"/>
            <w:vAlign w:val="bottom"/>
          </w:tcPr>
          <w:p w14:paraId="75B85C40" w14:textId="77777777" w:rsidR="0010460A" w:rsidRPr="00841F3D" w:rsidRDefault="0010460A" w:rsidP="0010460A">
            <w:pPr>
              <w:jc w:val="center"/>
              <w:rPr>
                <w:rFonts w:cs="Calibri"/>
                <w:sz w:val="20"/>
                <w:szCs w:val="20"/>
              </w:rPr>
            </w:pPr>
            <w:r w:rsidRPr="00841F3D">
              <w:rPr>
                <w:rFonts w:cs="Calibri"/>
                <w:sz w:val="20"/>
                <w:szCs w:val="20"/>
              </w:rPr>
              <w:t>Opakowania z papieru i tektury</w:t>
            </w:r>
          </w:p>
        </w:tc>
        <w:tc>
          <w:tcPr>
            <w:tcW w:w="1559" w:type="dxa"/>
            <w:shd w:val="clear" w:color="auto" w:fill="auto"/>
            <w:vAlign w:val="center"/>
          </w:tcPr>
          <w:p w14:paraId="3CB7E9C1" w14:textId="77777777" w:rsidR="0010460A" w:rsidRPr="00841F3D" w:rsidRDefault="0010460A" w:rsidP="009016F9">
            <w:pPr>
              <w:jc w:val="center"/>
              <w:rPr>
                <w:rFonts w:cs="Calibri"/>
                <w:sz w:val="20"/>
                <w:szCs w:val="20"/>
              </w:rPr>
            </w:pPr>
            <w:r w:rsidRPr="00841F3D">
              <w:rPr>
                <w:rFonts w:cs="Calibri"/>
                <w:sz w:val="20"/>
                <w:szCs w:val="20"/>
              </w:rPr>
              <w:t>0,30</w:t>
            </w:r>
          </w:p>
        </w:tc>
        <w:tc>
          <w:tcPr>
            <w:tcW w:w="1560" w:type="dxa"/>
            <w:vAlign w:val="center"/>
          </w:tcPr>
          <w:p w14:paraId="768F572B" w14:textId="77777777" w:rsidR="0010460A" w:rsidRPr="00841F3D" w:rsidRDefault="0010460A" w:rsidP="009016F9">
            <w:pPr>
              <w:jc w:val="center"/>
              <w:rPr>
                <w:rFonts w:cs="Calibri"/>
                <w:sz w:val="20"/>
                <w:szCs w:val="20"/>
              </w:rPr>
            </w:pPr>
            <w:r w:rsidRPr="00841F3D">
              <w:rPr>
                <w:rFonts w:cs="Calibri"/>
                <w:sz w:val="20"/>
                <w:szCs w:val="20"/>
              </w:rPr>
              <w:t>5,58</w:t>
            </w:r>
          </w:p>
        </w:tc>
        <w:tc>
          <w:tcPr>
            <w:tcW w:w="1559" w:type="dxa"/>
            <w:vAlign w:val="center"/>
          </w:tcPr>
          <w:p w14:paraId="74100674" w14:textId="791CD5A6" w:rsidR="0010460A" w:rsidRPr="00841F3D" w:rsidRDefault="005B74B2" w:rsidP="009016F9">
            <w:pPr>
              <w:jc w:val="center"/>
              <w:rPr>
                <w:rFonts w:cs="Calibri"/>
                <w:sz w:val="20"/>
                <w:szCs w:val="20"/>
              </w:rPr>
            </w:pPr>
            <w:r>
              <w:rPr>
                <w:rFonts w:cs="Calibri"/>
                <w:sz w:val="20"/>
                <w:szCs w:val="20"/>
              </w:rPr>
              <w:t>6,22</w:t>
            </w:r>
          </w:p>
        </w:tc>
        <w:tc>
          <w:tcPr>
            <w:tcW w:w="1559" w:type="dxa"/>
            <w:vAlign w:val="center"/>
          </w:tcPr>
          <w:p w14:paraId="25D47778" w14:textId="5A3C8E3B" w:rsidR="0010460A" w:rsidRPr="00841F3D" w:rsidRDefault="0010460A" w:rsidP="009016F9">
            <w:pPr>
              <w:jc w:val="center"/>
              <w:rPr>
                <w:rFonts w:cs="Calibri"/>
                <w:sz w:val="20"/>
                <w:szCs w:val="20"/>
              </w:rPr>
            </w:pPr>
            <w:r>
              <w:rPr>
                <w:rFonts w:cs="Calibri"/>
                <w:sz w:val="20"/>
                <w:szCs w:val="20"/>
              </w:rPr>
              <w:t>3,68</w:t>
            </w:r>
          </w:p>
        </w:tc>
        <w:tc>
          <w:tcPr>
            <w:tcW w:w="1418" w:type="dxa"/>
            <w:vAlign w:val="center"/>
          </w:tcPr>
          <w:p w14:paraId="1C043049" w14:textId="72FBBF20" w:rsidR="0010460A" w:rsidRDefault="005B74B2" w:rsidP="009016F9">
            <w:pPr>
              <w:jc w:val="center"/>
              <w:rPr>
                <w:rFonts w:cs="Calibri"/>
                <w:sz w:val="20"/>
                <w:szCs w:val="20"/>
              </w:rPr>
            </w:pPr>
            <w:r>
              <w:rPr>
                <w:rFonts w:cs="Calibri"/>
                <w:sz w:val="20"/>
                <w:szCs w:val="20"/>
              </w:rPr>
              <w:t>5,00</w:t>
            </w:r>
          </w:p>
        </w:tc>
      </w:tr>
      <w:tr w:rsidR="0010460A" w:rsidRPr="00841F3D" w14:paraId="73ABAA4E" w14:textId="67BD0FF2" w:rsidTr="005B74B2">
        <w:trPr>
          <w:trHeight w:val="171"/>
        </w:trPr>
        <w:tc>
          <w:tcPr>
            <w:tcW w:w="2625" w:type="dxa"/>
            <w:shd w:val="clear" w:color="auto" w:fill="auto"/>
            <w:vAlign w:val="bottom"/>
          </w:tcPr>
          <w:p w14:paraId="5EA46623" w14:textId="77777777" w:rsidR="0010460A" w:rsidRPr="00841F3D" w:rsidRDefault="0010460A" w:rsidP="0010460A">
            <w:pPr>
              <w:jc w:val="center"/>
              <w:rPr>
                <w:rFonts w:cs="Calibri"/>
                <w:sz w:val="20"/>
                <w:szCs w:val="20"/>
              </w:rPr>
            </w:pPr>
            <w:r w:rsidRPr="00841F3D">
              <w:rPr>
                <w:rFonts w:cs="Calibri"/>
                <w:sz w:val="20"/>
                <w:szCs w:val="20"/>
              </w:rPr>
              <w:t>Inne odpady nieulęgające biodegradacji</w:t>
            </w:r>
          </w:p>
        </w:tc>
        <w:tc>
          <w:tcPr>
            <w:tcW w:w="1559" w:type="dxa"/>
            <w:shd w:val="clear" w:color="auto" w:fill="auto"/>
            <w:vAlign w:val="center"/>
          </w:tcPr>
          <w:p w14:paraId="63EF33E4" w14:textId="77777777" w:rsidR="0010460A" w:rsidRPr="00841F3D" w:rsidRDefault="0010460A" w:rsidP="009016F9">
            <w:pPr>
              <w:jc w:val="center"/>
              <w:rPr>
                <w:rFonts w:cs="Calibri"/>
                <w:sz w:val="20"/>
                <w:szCs w:val="20"/>
              </w:rPr>
            </w:pPr>
            <w:r w:rsidRPr="00841F3D">
              <w:rPr>
                <w:rFonts w:cs="Calibri"/>
                <w:sz w:val="20"/>
                <w:szCs w:val="20"/>
              </w:rPr>
              <w:t>10,26</w:t>
            </w:r>
          </w:p>
        </w:tc>
        <w:tc>
          <w:tcPr>
            <w:tcW w:w="1560" w:type="dxa"/>
            <w:vAlign w:val="center"/>
          </w:tcPr>
          <w:p w14:paraId="6AA6903C" w14:textId="77777777" w:rsidR="0010460A" w:rsidRPr="00841F3D" w:rsidRDefault="0010460A" w:rsidP="009016F9">
            <w:pPr>
              <w:jc w:val="center"/>
              <w:rPr>
                <w:rFonts w:cs="Calibri"/>
                <w:sz w:val="20"/>
                <w:szCs w:val="20"/>
              </w:rPr>
            </w:pPr>
            <w:r w:rsidRPr="00841F3D">
              <w:rPr>
                <w:rFonts w:cs="Calibri"/>
                <w:sz w:val="20"/>
                <w:szCs w:val="20"/>
              </w:rPr>
              <w:t>6,14</w:t>
            </w:r>
          </w:p>
        </w:tc>
        <w:tc>
          <w:tcPr>
            <w:tcW w:w="1559" w:type="dxa"/>
            <w:vAlign w:val="center"/>
          </w:tcPr>
          <w:p w14:paraId="12F848E8" w14:textId="589A3BF4" w:rsidR="0010460A" w:rsidRPr="00841F3D" w:rsidRDefault="005B74B2" w:rsidP="009016F9">
            <w:pPr>
              <w:jc w:val="center"/>
              <w:rPr>
                <w:rFonts w:cs="Calibri"/>
                <w:sz w:val="20"/>
                <w:szCs w:val="20"/>
              </w:rPr>
            </w:pPr>
            <w:r>
              <w:rPr>
                <w:rFonts w:cs="Calibri"/>
                <w:sz w:val="20"/>
                <w:szCs w:val="20"/>
              </w:rPr>
              <w:t>9,46</w:t>
            </w:r>
          </w:p>
        </w:tc>
        <w:tc>
          <w:tcPr>
            <w:tcW w:w="1559" w:type="dxa"/>
            <w:vAlign w:val="center"/>
          </w:tcPr>
          <w:p w14:paraId="5A11B077" w14:textId="5927D28A" w:rsidR="0010460A" w:rsidRPr="00841F3D" w:rsidRDefault="0010460A" w:rsidP="009016F9">
            <w:pPr>
              <w:jc w:val="center"/>
              <w:rPr>
                <w:rFonts w:cs="Calibri"/>
                <w:sz w:val="20"/>
                <w:szCs w:val="20"/>
              </w:rPr>
            </w:pPr>
            <w:r>
              <w:rPr>
                <w:rFonts w:cs="Calibri"/>
                <w:sz w:val="20"/>
                <w:szCs w:val="20"/>
              </w:rPr>
              <w:t>15,00</w:t>
            </w:r>
          </w:p>
        </w:tc>
        <w:tc>
          <w:tcPr>
            <w:tcW w:w="1418" w:type="dxa"/>
            <w:vAlign w:val="center"/>
          </w:tcPr>
          <w:p w14:paraId="5B19B64A" w14:textId="4BAE262F" w:rsidR="0010460A" w:rsidRDefault="005B74B2" w:rsidP="009016F9">
            <w:pPr>
              <w:jc w:val="center"/>
              <w:rPr>
                <w:rFonts w:cs="Calibri"/>
                <w:sz w:val="20"/>
                <w:szCs w:val="20"/>
              </w:rPr>
            </w:pPr>
            <w:r>
              <w:rPr>
                <w:rFonts w:cs="Calibri"/>
                <w:sz w:val="20"/>
                <w:szCs w:val="20"/>
              </w:rPr>
              <w:t>8,00</w:t>
            </w:r>
          </w:p>
        </w:tc>
      </w:tr>
      <w:tr w:rsidR="0010460A" w:rsidRPr="00841F3D" w14:paraId="06C94079" w14:textId="04732CFF" w:rsidTr="005B74B2">
        <w:trPr>
          <w:trHeight w:val="171"/>
        </w:trPr>
        <w:tc>
          <w:tcPr>
            <w:tcW w:w="2625" w:type="dxa"/>
            <w:shd w:val="clear" w:color="auto" w:fill="auto"/>
            <w:vAlign w:val="bottom"/>
          </w:tcPr>
          <w:p w14:paraId="1BB173D1" w14:textId="77777777" w:rsidR="0010460A" w:rsidRPr="00841F3D" w:rsidRDefault="0010460A" w:rsidP="0010460A">
            <w:pPr>
              <w:jc w:val="center"/>
              <w:rPr>
                <w:rFonts w:cs="Calibri"/>
                <w:sz w:val="20"/>
                <w:szCs w:val="20"/>
              </w:rPr>
            </w:pPr>
            <w:r w:rsidRPr="00841F3D">
              <w:rPr>
                <w:rFonts w:cs="Calibri"/>
                <w:sz w:val="20"/>
                <w:szCs w:val="20"/>
              </w:rPr>
              <w:t>Niesegregowane (zmieszane) odpady komunalne</w:t>
            </w:r>
          </w:p>
        </w:tc>
        <w:tc>
          <w:tcPr>
            <w:tcW w:w="1559" w:type="dxa"/>
            <w:shd w:val="clear" w:color="auto" w:fill="auto"/>
            <w:vAlign w:val="center"/>
          </w:tcPr>
          <w:p w14:paraId="01B4C79C" w14:textId="77777777" w:rsidR="0010460A" w:rsidRPr="00841F3D" w:rsidRDefault="0010460A" w:rsidP="009016F9">
            <w:pPr>
              <w:jc w:val="center"/>
              <w:rPr>
                <w:rFonts w:cs="Calibri"/>
                <w:sz w:val="20"/>
                <w:szCs w:val="20"/>
              </w:rPr>
            </w:pPr>
            <w:r w:rsidRPr="00841F3D">
              <w:rPr>
                <w:rFonts w:cs="Calibri"/>
                <w:sz w:val="20"/>
                <w:szCs w:val="20"/>
              </w:rPr>
              <w:t>194,65</w:t>
            </w:r>
          </w:p>
        </w:tc>
        <w:tc>
          <w:tcPr>
            <w:tcW w:w="1560" w:type="dxa"/>
            <w:vAlign w:val="center"/>
          </w:tcPr>
          <w:p w14:paraId="0F5A655F" w14:textId="77777777" w:rsidR="0010460A" w:rsidRPr="00841F3D" w:rsidRDefault="0010460A" w:rsidP="009016F9">
            <w:pPr>
              <w:jc w:val="center"/>
              <w:rPr>
                <w:rFonts w:cs="Calibri"/>
                <w:sz w:val="20"/>
                <w:szCs w:val="20"/>
              </w:rPr>
            </w:pPr>
            <w:r w:rsidRPr="00841F3D">
              <w:rPr>
                <w:rFonts w:cs="Calibri"/>
                <w:sz w:val="20"/>
                <w:szCs w:val="20"/>
              </w:rPr>
              <w:t>214,05</w:t>
            </w:r>
          </w:p>
        </w:tc>
        <w:tc>
          <w:tcPr>
            <w:tcW w:w="1559" w:type="dxa"/>
            <w:vAlign w:val="center"/>
          </w:tcPr>
          <w:p w14:paraId="19EF9BBF" w14:textId="788B1184" w:rsidR="0010460A" w:rsidRPr="00841F3D" w:rsidRDefault="005B74B2" w:rsidP="009016F9">
            <w:pPr>
              <w:jc w:val="center"/>
              <w:rPr>
                <w:rFonts w:cs="Calibri"/>
                <w:sz w:val="20"/>
                <w:szCs w:val="20"/>
              </w:rPr>
            </w:pPr>
            <w:r>
              <w:rPr>
                <w:rFonts w:cs="Calibri"/>
                <w:sz w:val="20"/>
                <w:szCs w:val="20"/>
              </w:rPr>
              <w:t>243,77</w:t>
            </w:r>
          </w:p>
        </w:tc>
        <w:tc>
          <w:tcPr>
            <w:tcW w:w="1559" w:type="dxa"/>
            <w:vAlign w:val="center"/>
          </w:tcPr>
          <w:p w14:paraId="1836BBA4" w14:textId="4238DD1D" w:rsidR="0010460A" w:rsidRPr="00841F3D" w:rsidRDefault="0010460A" w:rsidP="009016F9">
            <w:pPr>
              <w:jc w:val="center"/>
              <w:rPr>
                <w:rFonts w:cs="Calibri"/>
                <w:sz w:val="20"/>
                <w:szCs w:val="20"/>
              </w:rPr>
            </w:pPr>
            <w:r>
              <w:rPr>
                <w:rFonts w:cs="Calibri"/>
                <w:sz w:val="20"/>
                <w:szCs w:val="20"/>
              </w:rPr>
              <w:t>255,74</w:t>
            </w:r>
          </w:p>
        </w:tc>
        <w:tc>
          <w:tcPr>
            <w:tcW w:w="1418" w:type="dxa"/>
            <w:vAlign w:val="center"/>
          </w:tcPr>
          <w:p w14:paraId="5191ECA1" w14:textId="19C7E25E" w:rsidR="0010460A" w:rsidRDefault="005B74B2" w:rsidP="009016F9">
            <w:pPr>
              <w:jc w:val="center"/>
              <w:rPr>
                <w:rFonts w:cs="Calibri"/>
                <w:sz w:val="20"/>
                <w:szCs w:val="20"/>
              </w:rPr>
            </w:pPr>
            <w:r>
              <w:rPr>
                <w:rFonts w:cs="Calibri"/>
                <w:sz w:val="20"/>
                <w:szCs w:val="20"/>
              </w:rPr>
              <w:t>235,00</w:t>
            </w:r>
          </w:p>
        </w:tc>
      </w:tr>
      <w:tr w:rsidR="0010460A" w:rsidRPr="00841F3D" w14:paraId="62EF0515" w14:textId="662FCCF4" w:rsidTr="005B74B2">
        <w:trPr>
          <w:trHeight w:val="171"/>
        </w:trPr>
        <w:tc>
          <w:tcPr>
            <w:tcW w:w="2625" w:type="dxa"/>
            <w:shd w:val="clear" w:color="auto" w:fill="auto"/>
            <w:vAlign w:val="bottom"/>
          </w:tcPr>
          <w:p w14:paraId="71BB16C7" w14:textId="77777777" w:rsidR="0010460A" w:rsidRPr="00841F3D" w:rsidRDefault="0010460A" w:rsidP="0010460A">
            <w:pPr>
              <w:jc w:val="center"/>
              <w:rPr>
                <w:rFonts w:cs="Calibri"/>
                <w:sz w:val="20"/>
                <w:szCs w:val="20"/>
              </w:rPr>
            </w:pPr>
            <w:r w:rsidRPr="00841F3D">
              <w:rPr>
                <w:rFonts w:cs="Calibri"/>
                <w:sz w:val="20"/>
                <w:szCs w:val="20"/>
              </w:rPr>
              <w:t>Odpady ulegające biodegradacji</w:t>
            </w:r>
          </w:p>
        </w:tc>
        <w:tc>
          <w:tcPr>
            <w:tcW w:w="1559" w:type="dxa"/>
            <w:shd w:val="clear" w:color="auto" w:fill="auto"/>
            <w:vAlign w:val="center"/>
          </w:tcPr>
          <w:p w14:paraId="3165D2AB" w14:textId="77777777" w:rsidR="0010460A" w:rsidRPr="00841F3D" w:rsidRDefault="0010460A" w:rsidP="009016F9">
            <w:pPr>
              <w:jc w:val="center"/>
              <w:rPr>
                <w:rFonts w:cs="Calibri"/>
                <w:sz w:val="20"/>
                <w:szCs w:val="20"/>
              </w:rPr>
            </w:pPr>
            <w:r w:rsidRPr="00841F3D">
              <w:rPr>
                <w:rFonts w:cs="Calibri"/>
                <w:sz w:val="20"/>
                <w:szCs w:val="20"/>
              </w:rPr>
              <w:t>15,24</w:t>
            </w:r>
          </w:p>
        </w:tc>
        <w:tc>
          <w:tcPr>
            <w:tcW w:w="1560" w:type="dxa"/>
            <w:vAlign w:val="center"/>
          </w:tcPr>
          <w:p w14:paraId="2A4FC60F" w14:textId="77777777" w:rsidR="0010460A" w:rsidRPr="00841F3D" w:rsidRDefault="0010460A" w:rsidP="009016F9">
            <w:pPr>
              <w:jc w:val="center"/>
              <w:rPr>
                <w:rFonts w:cs="Calibri"/>
                <w:sz w:val="20"/>
                <w:szCs w:val="20"/>
              </w:rPr>
            </w:pPr>
            <w:r w:rsidRPr="00841F3D">
              <w:rPr>
                <w:rFonts w:cs="Calibri"/>
                <w:sz w:val="20"/>
                <w:szCs w:val="20"/>
              </w:rPr>
              <w:t>25,18</w:t>
            </w:r>
          </w:p>
        </w:tc>
        <w:tc>
          <w:tcPr>
            <w:tcW w:w="1559" w:type="dxa"/>
            <w:vAlign w:val="center"/>
          </w:tcPr>
          <w:p w14:paraId="516E026B" w14:textId="5C593041" w:rsidR="0010460A" w:rsidRPr="00841F3D" w:rsidRDefault="005B74B2" w:rsidP="009016F9">
            <w:pPr>
              <w:jc w:val="center"/>
              <w:rPr>
                <w:rFonts w:cs="Calibri"/>
                <w:sz w:val="20"/>
                <w:szCs w:val="20"/>
              </w:rPr>
            </w:pPr>
            <w:r>
              <w:rPr>
                <w:rFonts w:cs="Calibri"/>
                <w:sz w:val="20"/>
                <w:szCs w:val="20"/>
              </w:rPr>
              <w:t>27,94</w:t>
            </w:r>
          </w:p>
        </w:tc>
        <w:tc>
          <w:tcPr>
            <w:tcW w:w="1559" w:type="dxa"/>
            <w:vAlign w:val="center"/>
          </w:tcPr>
          <w:p w14:paraId="045F9BF7" w14:textId="3F69A63B" w:rsidR="0010460A" w:rsidRPr="00841F3D" w:rsidRDefault="0010460A" w:rsidP="009016F9">
            <w:pPr>
              <w:jc w:val="center"/>
              <w:rPr>
                <w:rFonts w:cs="Calibri"/>
                <w:sz w:val="20"/>
                <w:szCs w:val="20"/>
              </w:rPr>
            </w:pPr>
            <w:r>
              <w:rPr>
                <w:rFonts w:cs="Calibri"/>
                <w:sz w:val="20"/>
                <w:szCs w:val="20"/>
              </w:rPr>
              <w:t>12,60</w:t>
            </w:r>
          </w:p>
        </w:tc>
        <w:tc>
          <w:tcPr>
            <w:tcW w:w="1418" w:type="dxa"/>
            <w:vAlign w:val="center"/>
          </w:tcPr>
          <w:p w14:paraId="52D69F21" w14:textId="042ED22B" w:rsidR="0010460A" w:rsidRDefault="005B74B2" w:rsidP="009016F9">
            <w:pPr>
              <w:jc w:val="center"/>
              <w:rPr>
                <w:rFonts w:cs="Calibri"/>
                <w:sz w:val="20"/>
                <w:szCs w:val="20"/>
              </w:rPr>
            </w:pPr>
            <w:r>
              <w:rPr>
                <w:rFonts w:cs="Calibri"/>
                <w:sz w:val="20"/>
                <w:szCs w:val="20"/>
              </w:rPr>
              <w:t>13,00</w:t>
            </w:r>
          </w:p>
        </w:tc>
      </w:tr>
      <w:tr w:rsidR="0010460A" w:rsidRPr="00841F3D" w14:paraId="4987711B" w14:textId="0EA3A3D0" w:rsidTr="005B74B2">
        <w:trPr>
          <w:trHeight w:val="171"/>
        </w:trPr>
        <w:tc>
          <w:tcPr>
            <w:tcW w:w="2625" w:type="dxa"/>
            <w:shd w:val="clear" w:color="auto" w:fill="auto"/>
            <w:vAlign w:val="bottom"/>
          </w:tcPr>
          <w:p w14:paraId="06A2D2DF" w14:textId="77777777" w:rsidR="0010460A" w:rsidRPr="00841F3D" w:rsidRDefault="0010460A" w:rsidP="0010460A">
            <w:pPr>
              <w:jc w:val="center"/>
              <w:rPr>
                <w:rFonts w:cs="Calibri"/>
                <w:sz w:val="20"/>
                <w:szCs w:val="20"/>
              </w:rPr>
            </w:pPr>
            <w:r w:rsidRPr="00841F3D">
              <w:rPr>
                <w:rFonts w:cs="Calibri"/>
                <w:sz w:val="20"/>
                <w:szCs w:val="20"/>
              </w:rPr>
              <w:t>Popioły z palenisk domowych</w:t>
            </w:r>
          </w:p>
        </w:tc>
        <w:tc>
          <w:tcPr>
            <w:tcW w:w="1559" w:type="dxa"/>
            <w:shd w:val="clear" w:color="auto" w:fill="auto"/>
            <w:vAlign w:val="center"/>
          </w:tcPr>
          <w:p w14:paraId="2F805921" w14:textId="77777777" w:rsidR="0010460A" w:rsidRPr="00841F3D" w:rsidRDefault="0010460A" w:rsidP="009016F9">
            <w:pPr>
              <w:jc w:val="center"/>
              <w:rPr>
                <w:rFonts w:cs="Calibri"/>
                <w:sz w:val="20"/>
                <w:szCs w:val="20"/>
              </w:rPr>
            </w:pPr>
            <w:r w:rsidRPr="00841F3D">
              <w:rPr>
                <w:rFonts w:cs="Calibri"/>
                <w:sz w:val="20"/>
                <w:szCs w:val="20"/>
              </w:rPr>
              <w:t>288,40</w:t>
            </w:r>
          </w:p>
        </w:tc>
        <w:tc>
          <w:tcPr>
            <w:tcW w:w="1560" w:type="dxa"/>
            <w:vAlign w:val="center"/>
          </w:tcPr>
          <w:p w14:paraId="69E80F97" w14:textId="77777777" w:rsidR="0010460A" w:rsidRPr="00841F3D" w:rsidRDefault="0010460A" w:rsidP="009016F9">
            <w:pPr>
              <w:jc w:val="center"/>
              <w:rPr>
                <w:rFonts w:cs="Calibri"/>
                <w:sz w:val="20"/>
                <w:szCs w:val="20"/>
              </w:rPr>
            </w:pPr>
            <w:r w:rsidRPr="00841F3D">
              <w:rPr>
                <w:rFonts w:cs="Calibri"/>
                <w:sz w:val="20"/>
                <w:szCs w:val="20"/>
              </w:rPr>
              <w:t>278,66</w:t>
            </w:r>
          </w:p>
        </w:tc>
        <w:tc>
          <w:tcPr>
            <w:tcW w:w="1559" w:type="dxa"/>
            <w:vAlign w:val="center"/>
          </w:tcPr>
          <w:p w14:paraId="06AB1470" w14:textId="1F6CCFC6" w:rsidR="0010460A" w:rsidRPr="00841F3D" w:rsidRDefault="005B74B2" w:rsidP="009016F9">
            <w:pPr>
              <w:jc w:val="center"/>
              <w:rPr>
                <w:rFonts w:cs="Calibri"/>
                <w:sz w:val="20"/>
                <w:szCs w:val="20"/>
              </w:rPr>
            </w:pPr>
            <w:r>
              <w:rPr>
                <w:rFonts w:cs="Calibri"/>
                <w:sz w:val="20"/>
                <w:szCs w:val="20"/>
              </w:rPr>
              <w:t>279,56</w:t>
            </w:r>
          </w:p>
        </w:tc>
        <w:tc>
          <w:tcPr>
            <w:tcW w:w="1559" w:type="dxa"/>
            <w:vAlign w:val="center"/>
          </w:tcPr>
          <w:p w14:paraId="6C3BB479" w14:textId="61B9BFFB" w:rsidR="0010460A" w:rsidRPr="00841F3D" w:rsidRDefault="0010460A" w:rsidP="009016F9">
            <w:pPr>
              <w:jc w:val="center"/>
              <w:rPr>
                <w:rFonts w:cs="Calibri"/>
                <w:sz w:val="20"/>
                <w:szCs w:val="20"/>
              </w:rPr>
            </w:pPr>
            <w:r>
              <w:rPr>
                <w:rFonts w:cs="Calibri"/>
                <w:sz w:val="20"/>
                <w:szCs w:val="20"/>
              </w:rPr>
              <w:t>260,30</w:t>
            </w:r>
          </w:p>
        </w:tc>
        <w:tc>
          <w:tcPr>
            <w:tcW w:w="1418" w:type="dxa"/>
            <w:vAlign w:val="center"/>
          </w:tcPr>
          <w:p w14:paraId="36D0087A" w14:textId="154FFF7F" w:rsidR="0010460A" w:rsidRDefault="005B74B2" w:rsidP="009016F9">
            <w:pPr>
              <w:jc w:val="center"/>
              <w:rPr>
                <w:rFonts w:cs="Calibri"/>
                <w:sz w:val="20"/>
                <w:szCs w:val="20"/>
              </w:rPr>
            </w:pPr>
            <w:r>
              <w:rPr>
                <w:rFonts w:cs="Calibri"/>
                <w:sz w:val="20"/>
                <w:szCs w:val="20"/>
              </w:rPr>
              <w:t>270,00</w:t>
            </w:r>
          </w:p>
        </w:tc>
      </w:tr>
      <w:tr w:rsidR="0010460A" w:rsidRPr="00841F3D" w14:paraId="424216F5" w14:textId="65E206B6" w:rsidTr="005B74B2">
        <w:trPr>
          <w:trHeight w:val="171"/>
        </w:trPr>
        <w:tc>
          <w:tcPr>
            <w:tcW w:w="2625" w:type="dxa"/>
            <w:shd w:val="clear" w:color="auto" w:fill="auto"/>
            <w:vAlign w:val="bottom"/>
          </w:tcPr>
          <w:p w14:paraId="6C0AE90E" w14:textId="77777777" w:rsidR="0010460A" w:rsidRPr="00841F3D" w:rsidRDefault="0010460A" w:rsidP="0010460A">
            <w:pPr>
              <w:jc w:val="center"/>
              <w:rPr>
                <w:rFonts w:cs="Calibri"/>
                <w:sz w:val="20"/>
                <w:szCs w:val="20"/>
              </w:rPr>
            </w:pPr>
            <w:r w:rsidRPr="00841F3D">
              <w:rPr>
                <w:rFonts w:cs="Calibri"/>
                <w:sz w:val="20"/>
                <w:szCs w:val="20"/>
              </w:rPr>
              <w:t>Zużyte opony</w:t>
            </w:r>
          </w:p>
        </w:tc>
        <w:tc>
          <w:tcPr>
            <w:tcW w:w="1559" w:type="dxa"/>
            <w:shd w:val="clear" w:color="auto" w:fill="auto"/>
            <w:vAlign w:val="center"/>
          </w:tcPr>
          <w:p w14:paraId="799BAC87" w14:textId="77777777" w:rsidR="0010460A" w:rsidRPr="00841F3D" w:rsidRDefault="0010460A" w:rsidP="009016F9">
            <w:pPr>
              <w:jc w:val="center"/>
              <w:rPr>
                <w:rFonts w:cs="Calibri"/>
                <w:sz w:val="20"/>
                <w:szCs w:val="20"/>
              </w:rPr>
            </w:pPr>
            <w:r w:rsidRPr="00841F3D">
              <w:rPr>
                <w:rFonts w:cs="Calibri"/>
                <w:sz w:val="20"/>
                <w:szCs w:val="20"/>
              </w:rPr>
              <w:t>11,94</w:t>
            </w:r>
          </w:p>
        </w:tc>
        <w:tc>
          <w:tcPr>
            <w:tcW w:w="1560" w:type="dxa"/>
            <w:vAlign w:val="center"/>
          </w:tcPr>
          <w:p w14:paraId="6436AD5A" w14:textId="77777777" w:rsidR="0010460A" w:rsidRPr="00841F3D" w:rsidRDefault="0010460A" w:rsidP="009016F9">
            <w:pPr>
              <w:jc w:val="center"/>
              <w:rPr>
                <w:rFonts w:cs="Calibri"/>
                <w:sz w:val="20"/>
                <w:szCs w:val="20"/>
              </w:rPr>
            </w:pPr>
            <w:r w:rsidRPr="00841F3D">
              <w:rPr>
                <w:rFonts w:cs="Calibri"/>
                <w:sz w:val="20"/>
                <w:szCs w:val="20"/>
              </w:rPr>
              <w:t>6,42</w:t>
            </w:r>
          </w:p>
        </w:tc>
        <w:tc>
          <w:tcPr>
            <w:tcW w:w="1559" w:type="dxa"/>
            <w:vAlign w:val="center"/>
          </w:tcPr>
          <w:p w14:paraId="20A54EB5" w14:textId="624DCE41" w:rsidR="0010460A" w:rsidRPr="00841F3D" w:rsidRDefault="005B74B2" w:rsidP="009016F9">
            <w:pPr>
              <w:jc w:val="center"/>
              <w:rPr>
                <w:rFonts w:cs="Calibri"/>
                <w:sz w:val="20"/>
                <w:szCs w:val="20"/>
              </w:rPr>
            </w:pPr>
            <w:r>
              <w:rPr>
                <w:rFonts w:cs="Calibri"/>
                <w:sz w:val="20"/>
                <w:szCs w:val="20"/>
              </w:rPr>
              <w:t>12,62</w:t>
            </w:r>
          </w:p>
        </w:tc>
        <w:tc>
          <w:tcPr>
            <w:tcW w:w="1559" w:type="dxa"/>
            <w:vAlign w:val="center"/>
          </w:tcPr>
          <w:p w14:paraId="00C936A5" w14:textId="69BE3C4B" w:rsidR="0010460A" w:rsidRPr="00841F3D" w:rsidRDefault="0010460A" w:rsidP="009016F9">
            <w:pPr>
              <w:jc w:val="center"/>
              <w:rPr>
                <w:rFonts w:cs="Calibri"/>
                <w:sz w:val="20"/>
                <w:szCs w:val="20"/>
              </w:rPr>
            </w:pPr>
            <w:r>
              <w:rPr>
                <w:rFonts w:cs="Calibri"/>
                <w:sz w:val="20"/>
                <w:szCs w:val="20"/>
              </w:rPr>
              <w:t>19,82</w:t>
            </w:r>
          </w:p>
        </w:tc>
        <w:tc>
          <w:tcPr>
            <w:tcW w:w="1418" w:type="dxa"/>
            <w:vAlign w:val="center"/>
          </w:tcPr>
          <w:p w14:paraId="2B285E84" w14:textId="472E0622" w:rsidR="0010460A" w:rsidRDefault="005B74B2" w:rsidP="009016F9">
            <w:pPr>
              <w:jc w:val="center"/>
              <w:rPr>
                <w:rFonts w:cs="Calibri"/>
                <w:sz w:val="20"/>
                <w:szCs w:val="20"/>
              </w:rPr>
            </w:pPr>
            <w:r>
              <w:rPr>
                <w:rFonts w:cs="Calibri"/>
                <w:sz w:val="20"/>
                <w:szCs w:val="20"/>
              </w:rPr>
              <w:t>15,00</w:t>
            </w:r>
          </w:p>
        </w:tc>
      </w:tr>
      <w:tr w:rsidR="0010460A" w:rsidRPr="00841F3D" w14:paraId="00C064F1" w14:textId="46BEC518" w:rsidTr="005B74B2">
        <w:trPr>
          <w:trHeight w:val="171"/>
        </w:trPr>
        <w:tc>
          <w:tcPr>
            <w:tcW w:w="2625" w:type="dxa"/>
            <w:shd w:val="clear" w:color="auto" w:fill="auto"/>
            <w:vAlign w:val="bottom"/>
          </w:tcPr>
          <w:p w14:paraId="7C7785A0" w14:textId="77777777" w:rsidR="0010460A" w:rsidRPr="00841F3D" w:rsidRDefault="0010460A" w:rsidP="0010460A">
            <w:pPr>
              <w:jc w:val="center"/>
              <w:rPr>
                <w:rFonts w:cs="Calibri"/>
                <w:sz w:val="20"/>
                <w:szCs w:val="20"/>
              </w:rPr>
            </w:pPr>
            <w:r w:rsidRPr="00841F3D">
              <w:rPr>
                <w:rFonts w:cs="Calibri"/>
                <w:sz w:val="20"/>
                <w:szCs w:val="20"/>
              </w:rPr>
              <w:t>Zmieszane odpady z betonu, gruzu ceglanego, odpadowych materiałów ceramicznych i elementów wyposażenia inne niż wymienione w 17 01 06</w:t>
            </w:r>
          </w:p>
        </w:tc>
        <w:tc>
          <w:tcPr>
            <w:tcW w:w="1559" w:type="dxa"/>
            <w:shd w:val="clear" w:color="auto" w:fill="auto"/>
            <w:vAlign w:val="center"/>
          </w:tcPr>
          <w:p w14:paraId="104E4184" w14:textId="77777777" w:rsidR="0010460A" w:rsidRPr="00841F3D" w:rsidRDefault="0010460A" w:rsidP="009016F9">
            <w:pPr>
              <w:jc w:val="center"/>
              <w:rPr>
                <w:rFonts w:cs="Calibri"/>
                <w:sz w:val="20"/>
                <w:szCs w:val="20"/>
              </w:rPr>
            </w:pPr>
            <w:r w:rsidRPr="00841F3D">
              <w:rPr>
                <w:rFonts w:cs="Calibri"/>
                <w:sz w:val="20"/>
                <w:szCs w:val="20"/>
              </w:rPr>
              <w:t>9,96</w:t>
            </w:r>
          </w:p>
        </w:tc>
        <w:tc>
          <w:tcPr>
            <w:tcW w:w="1560" w:type="dxa"/>
            <w:vAlign w:val="center"/>
          </w:tcPr>
          <w:p w14:paraId="25341822" w14:textId="77777777" w:rsidR="0010460A" w:rsidRPr="00841F3D" w:rsidRDefault="0010460A" w:rsidP="009016F9">
            <w:pPr>
              <w:jc w:val="center"/>
              <w:rPr>
                <w:rFonts w:cs="Calibri"/>
                <w:sz w:val="20"/>
                <w:szCs w:val="20"/>
              </w:rPr>
            </w:pPr>
            <w:r w:rsidRPr="00841F3D">
              <w:rPr>
                <w:rFonts w:cs="Calibri"/>
                <w:sz w:val="20"/>
                <w:szCs w:val="20"/>
              </w:rPr>
              <w:t>14,14</w:t>
            </w:r>
          </w:p>
        </w:tc>
        <w:tc>
          <w:tcPr>
            <w:tcW w:w="1559" w:type="dxa"/>
            <w:vAlign w:val="center"/>
          </w:tcPr>
          <w:p w14:paraId="5A8E8626" w14:textId="2CCF1F0C" w:rsidR="0010460A" w:rsidRPr="00841F3D" w:rsidRDefault="005B74B2" w:rsidP="009016F9">
            <w:pPr>
              <w:jc w:val="center"/>
              <w:rPr>
                <w:rFonts w:cs="Calibri"/>
                <w:sz w:val="20"/>
                <w:szCs w:val="20"/>
              </w:rPr>
            </w:pPr>
            <w:r>
              <w:rPr>
                <w:rFonts w:cs="Calibri"/>
                <w:sz w:val="20"/>
                <w:szCs w:val="20"/>
              </w:rPr>
              <w:t>21,40</w:t>
            </w:r>
          </w:p>
        </w:tc>
        <w:tc>
          <w:tcPr>
            <w:tcW w:w="1559" w:type="dxa"/>
            <w:vAlign w:val="center"/>
          </w:tcPr>
          <w:p w14:paraId="28BD49AE" w14:textId="4A58E3E5" w:rsidR="0010460A" w:rsidRPr="00841F3D" w:rsidRDefault="0010460A" w:rsidP="009016F9">
            <w:pPr>
              <w:jc w:val="center"/>
              <w:rPr>
                <w:rFonts w:cs="Calibri"/>
                <w:sz w:val="20"/>
                <w:szCs w:val="20"/>
              </w:rPr>
            </w:pPr>
            <w:r>
              <w:rPr>
                <w:rFonts w:cs="Calibri"/>
                <w:sz w:val="20"/>
                <w:szCs w:val="20"/>
              </w:rPr>
              <w:t>15,60</w:t>
            </w:r>
          </w:p>
        </w:tc>
        <w:tc>
          <w:tcPr>
            <w:tcW w:w="1418" w:type="dxa"/>
            <w:vAlign w:val="center"/>
          </w:tcPr>
          <w:p w14:paraId="1F9C0D13" w14:textId="772D6DF8" w:rsidR="0010460A" w:rsidRDefault="005B74B2" w:rsidP="009016F9">
            <w:pPr>
              <w:jc w:val="center"/>
              <w:rPr>
                <w:rFonts w:cs="Calibri"/>
                <w:sz w:val="20"/>
                <w:szCs w:val="20"/>
              </w:rPr>
            </w:pPr>
            <w:r>
              <w:rPr>
                <w:rFonts w:cs="Calibri"/>
                <w:sz w:val="20"/>
                <w:szCs w:val="20"/>
              </w:rPr>
              <w:t>15,00</w:t>
            </w:r>
          </w:p>
        </w:tc>
      </w:tr>
      <w:tr w:rsidR="0010460A" w:rsidRPr="00841F3D" w14:paraId="7F090999" w14:textId="40AE6632" w:rsidTr="005B74B2">
        <w:trPr>
          <w:trHeight w:val="711"/>
        </w:trPr>
        <w:tc>
          <w:tcPr>
            <w:tcW w:w="2625" w:type="dxa"/>
            <w:shd w:val="clear" w:color="auto" w:fill="auto"/>
            <w:vAlign w:val="center"/>
          </w:tcPr>
          <w:p w14:paraId="6FED2506" w14:textId="77777777" w:rsidR="0010460A" w:rsidRPr="00841F3D" w:rsidRDefault="0010460A" w:rsidP="0010460A">
            <w:pPr>
              <w:jc w:val="center"/>
              <w:rPr>
                <w:rFonts w:cs="Calibri"/>
                <w:sz w:val="20"/>
                <w:szCs w:val="20"/>
              </w:rPr>
            </w:pPr>
            <w:r w:rsidRPr="00841F3D">
              <w:rPr>
                <w:rFonts w:cs="Calibri"/>
                <w:sz w:val="20"/>
                <w:szCs w:val="20"/>
              </w:rPr>
              <w:t>Odpady wielkogabarytowe</w:t>
            </w:r>
          </w:p>
        </w:tc>
        <w:tc>
          <w:tcPr>
            <w:tcW w:w="1559" w:type="dxa"/>
            <w:shd w:val="clear" w:color="auto" w:fill="auto"/>
            <w:vAlign w:val="center"/>
          </w:tcPr>
          <w:p w14:paraId="77B24F37" w14:textId="77777777" w:rsidR="0010460A" w:rsidRPr="00841F3D" w:rsidRDefault="0010460A" w:rsidP="009016F9">
            <w:pPr>
              <w:jc w:val="center"/>
              <w:rPr>
                <w:rFonts w:cs="Calibri"/>
                <w:sz w:val="20"/>
                <w:szCs w:val="20"/>
              </w:rPr>
            </w:pPr>
            <w:r w:rsidRPr="00841F3D">
              <w:rPr>
                <w:rFonts w:cs="Calibri"/>
                <w:sz w:val="20"/>
                <w:szCs w:val="20"/>
              </w:rPr>
              <w:t>31,28</w:t>
            </w:r>
          </w:p>
        </w:tc>
        <w:tc>
          <w:tcPr>
            <w:tcW w:w="1560" w:type="dxa"/>
            <w:vAlign w:val="center"/>
          </w:tcPr>
          <w:p w14:paraId="0E95D5EA" w14:textId="77777777" w:rsidR="0010460A" w:rsidRPr="00841F3D" w:rsidRDefault="0010460A" w:rsidP="009016F9">
            <w:pPr>
              <w:jc w:val="center"/>
              <w:rPr>
                <w:rFonts w:cs="Calibri"/>
                <w:sz w:val="20"/>
                <w:szCs w:val="20"/>
              </w:rPr>
            </w:pPr>
            <w:r w:rsidRPr="00841F3D">
              <w:rPr>
                <w:rFonts w:cs="Calibri"/>
                <w:sz w:val="20"/>
                <w:szCs w:val="20"/>
              </w:rPr>
              <w:t>27,34</w:t>
            </w:r>
          </w:p>
        </w:tc>
        <w:tc>
          <w:tcPr>
            <w:tcW w:w="1559" w:type="dxa"/>
            <w:vAlign w:val="center"/>
          </w:tcPr>
          <w:p w14:paraId="253C18E6" w14:textId="2413C0AE" w:rsidR="0010460A" w:rsidRPr="00841F3D" w:rsidRDefault="005B74B2" w:rsidP="009016F9">
            <w:pPr>
              <w:jc w:val="center"/>
              <w:rPr>
                <w:rFonts w:cs="Calibri"/>
                <w:sz w:val="20"/>
                <w:szCs w:val="20"/>
              </w:rPr>
            </w:pPr>
            <w:r>
              <w:rPr>
                <w:rFonts w:cs="Calibri"/>
                <w:sz w:val="20"/>
                <w:szCs w:val="20"/>
              </w:rPr>
              <w:t>35,32</w:t>
            </w:r>
          </w:p>
        </w:tc>
        <w:tc>
          <w:tcPr>
            <w:tcW w:w="1559" w:type="dxa"/>
            <w:vAlign w:val="center"/>
          </w:tcPr>
          <w:p w14:paraId="0D93ED73" w14:textId="5858C83D" w:rsidR="0010460A" w:rsidRPr="00841F3D" w:rsidRDefault="0010460A" w:rsidP="009016F9">
            <w:pPr>
              <w:jc w:val="center"/>
              <w:rPr>
                <w:rFonts w:cs="Calibri"/>
                <w:sz w:val="20"/>
                <w:szCs w:val="20"/>
              </w:rPr>
            </w:pPr>
            <w:r>
              <w:rPr>
                <w:rFonts w:cs="Calibri"/>
                <w:sz w:val="20"/>
                <w:szCs w:val="20"/>
              </w:rPr>
              <w:t>43,00</w:t>
            </w:r>
          </w:p>
        </w:tc>
        <w:tc>
          <w:tcPr>
            <w:tcW w:w="1418" w:type="dxa"/>
            <w:vAlign w:val="center"/>
          </w:tcPr>
          <w:p w14:paraId="7D937343" w14:textId="7407C4EB" w:rsidR="0010460A" w:rsidRDefault="005B74B2" w:rsidP="009016F9">
            <w:pPr>
              <w:jc w:val="center"/>
              <w:rPr>
                <w:rFonts w:cs="Calibri"/>
                <w:sz w:val="20"/>
                <w:szCs w:val="20"/>
              </w:rPr>
            </w:pPr>
            <w:r>
              <w:rPr>
                <w:rFonts w:cs="Calibri"/>
                <w:sz w:val="20"/>
                <w:szCs w:val="20"/>
              </w:rPr>
              <w:t>40,00</w:t>
            </w:r>
          </w:p>
        </w:tc>
      </w:tr>
      <w:tr w:rsidR="0010460A" w:rsidRPr="00841F3D" w14:paraId="765EF49A" w14:textId="1CB9CF26" w:rsidTr="005B74B2">
        <w:trPr>
          <w:trHeight w:val="1858"/>
        </w:trPr>
        <w:tc>
          <w:tcPr>
            <w:tcW w:w="2625" w:type="dxa"/>
            <w:shd w:val="clear" w:color="auto" w:fill="auto"/>
            <w:vAlign w:val="center"/>
          </w:tcPr>
          <w:p w14:paraId="18C234F6" w14:textId="77777777" w:rsidR="0010460A" w:rsidRPr="00841F3D" w:rsidRDefault="0010460A" w:rsidP="0010460A">
            <w:pPr>
              <w:jc w:val="center"/>
              <w:rPr>
                <w:rFonts w:cs="Calibri"/>
                <w:sz w:val="20"/>
                <w:szCs w:val="20"/>
              </w:rPr>
            </w:pPr>
            <w:r w:rsidRPr="00841F3D">
              <w:rPr>
                <w:rFonts w:cs="Calibri"/>
                <w:sz w:val="20"/>
                <w:szCs w:val="20"/>
              </w:rPr>
              <w:t>Zużyte urządzenia elektryczne i elektroniczne inne niż wymienione w 200121, 200123 i 200135</w:t>
            </w:r>
          </w:p>
          <w:p w14:paraId="74BDD084" w14:textId="77777777" w:rsidR="0010460A" w:rsidRPr="00841F3D" w:rsidRDefault="0010460A" w:rsidP="0010460A">
            <w:pPr>
              <w:jc w:val="center"/>
              <w:rPr>
                <w:rFonts w:cs="Calibri"/>
                <w:sz w:val="20"/>
                <w:szCs w:val="20"/>
              </w:rPr>
            </w:pPr>
            <w:r w:rsidRPr="00841F3D">
              <w:rPr>
                <w:rFonts w:cs="Calibri"/>
                <w:sz w:val="20"/>
                <w:szCs w:val="20"/>
              </w:rPr>
              <w:t>Urządzenia zawierające freony</w:t>
            </w:r>
          </w:p>
        </w:tc>
        <w:tc>
          <w:tcPr>
            <w:tcW w:w="1559" w:type="dxa"/>
            <w:shd w:val="clear" w:color="auto" w:fill="auto"/>
            <w:vAlign w:val="center"/>
          </w:tcPr>
          <w:p w14:paraId="30F5578F" w14:textId="77777777" w:rsidR="0010460A" w:rsidRPr="00841F3D" w:rsidRDefault="0010460A" w:rsidP="009016F9">
            <w:pPr>
              <w:jc w:val="center"/>
              <w:rPr>
                <w:rFonts w:cs="Calibri"/>
                <w:sz w:val="20"/>
                <w:szCs w:val="20"/>
              </w:rPr>
            </w:pPr>
            <w:r w:rsidRPr="00841F3D">
              <w:rPr>
                <w:rFonts w:cs="Calibri"/>
                <w:sz w:val="20"/>
                <w:szCs w:val="20"/>
              </w:rPr>
              <w:t>4,72</w:t>
            </w:r>
          </w:p>
        </w:tc>
        <w:tc>
          <w:tcPr>
            <w:tcW w:w="1560" w:type="dxa"/>
            <w:vAlign w:val="center"/>
          </w:tcPr>
          <w:p w14:paraId="4F2CC950" w14:textId="77777777" w:rsidR="0010460A" w:rsidRPr="00841F3D" w:rsidRDefault="0010460A" w:rsidP="009016F9">
            <w:pPr>
              <w:jc w:val="center"/>
              <w:rPr>
                <w:rFonts w:cs="Calibri"/>
                <w:sz w:val="20"/>
                <w:szCs w:val="20"/>
              </w:rPr>
            </w:pPr>
            <w:r w:rsidRPr="00841F3D">
              <w:rPr>
                <w:rFonts w:cs="Calibri"/>
                <w:sz w:val="20"/>
                <w:szCs w:val="20"/>
              </w:rPr>
              <w:t>3,38</w:t>
            </w:r>
          </w:p>
        </w:tc>
        <w:tc>
          <w:tcPr>
            <w:tcW w:w="1559" w:type="dxa"/>
            <w:vAlign w:val="center"/>
          </w:tcPr>
          <w:p w14:paraId="0433DD08" w14:textId="2CCFA5FF" w:rsidR="0010460A" w:rsidRPr="00841F3D" w:rsidRDefault="005B74B2" w:rsidP="009016F9">
            <w:pPr>
              <w:jc w:val="center"/>
              <w:rPr>
                <w:rFonts w:cs="Calibri"/>
                <w:sz w:val="20"/>
                <w:szCs w:val="20"/>
              </w:rPr>
            </w:pPr>
            <w:r>
              <w:rPr>
                <w:rFonts w:cs="Calibri"/>
                <w:sz w:val="20"/>
                <w:szCs w:val="20"/>
              </w:rPr>
              <w:t>3,19</w:t>
            </w:r>
          </w:p>
        </w:tc>
        <w:tc>
          <w:tcPr>
            <w:tcW w:w="1559" w:type="dxa"/>
            <w:vAlign w:val="center"/>
          </w:tcPr>
          <w:p w14:paraId="54B31CA6" w14:textId="6F36BCD3" w:rsidR="0010460A" w:rsidRPr="00841F3D" w:rsidRDefault="0010460A" w:rsidP="009016F9">
            <w:pPr>
              <w:jc w:val="center"/>
              <w:rPr>
                <w:rFonts w:cs="Calibri"/>
                <w:sz w:val="20"/>
                <w:szCs w:val="20"/>
              </w:rPr>
            </w:pPr>
            <w:r>
              <w:rPr>
                <w:rFonts w:cs="Calibri"/>
                <w:sz w:val="20"/>
                <w:szCs w:val="20"/>
              </w:rPr>
              <w:t>3,65</w:t>
            </w:r>
          </w:p>
        </w:tc>
        <w:tc>
          <w:tcPr>
            <w:tcW w:w="1418" w:type="dxa"/>
            <w:vAlign w:val="center"/>
          </w:tcPr>
          <w:p w14:paraId="1F4C9762" w14:textId="3393FF4C" w:rsidR="0010460A" w:rsidRDefault="005B74B2" w:rsidP="009016F9">
            <w:pPr>
              <w:jc w:val="center"/>
              <w:rPr>
                <w:rFonts w:cs="Calibri"/>
                <w:sz w:val="20"/>
                <w:szCs w:val="20"/>
              </w:rPr>
            </w:pPr>
            <w:r>
              <w:rPr>
                <w:rFonts w:cs="Calibri"/>
                <w:sz w:val="20"/>
                <w:szCs w:val="20"/>
              </w:rPr>
              <w:t>4,00</w:t>
            </w:r>
          </w:p>
        </w:tc>
      </w:tr>
      <w:tr w:rsidR="0010460A" w:rsidRPr="00841F3D" w14:paraId="3494470A" w14:textId="58585561" w:rsidTr="0010460A">
        <w:trPr>
          <w:trHeight w:hRule="exact" w:val="585"/>
        </w:trPr>
        <w:tc>
          <w:tcPr>
            <w:tcW w:w="2625" w:type="dxa"/>
            <w:shd w:val="clear" w:color="auto" w:fill="auto"/>
            <w:vAlign w:val="center"/>
          </w:tcPr>
          <w:p w14:paraId="33DAB228" w14:textId="77777777" w:rsidR="0010460A" w:rsidRPr="00841F3D" w:rsidRDefault="0010460A" w:rsidP="0010460A">
            <w:pPr>
              <w:jc w:val="center"/>
              <w:rPr>
                <w:rFonts w:cs="Calibri"/>
                <w:b/>
                <w:bCs/>
                <w:sz w:val="20"/>
                <w:szCs w:val="20"/>
              </w:rPr>
            </w:pPr>
            <w:r w:rsidRPr="00841F3D">
              <w:rPr>
                <w:rFonts w:cs="Calibri"/>
                <w:b/>
                <w:bCs/>
                <w:sz w:val="20"/>
                <w:szCs w:val="20"/>
              </w:rPr>
              <w:t>Suma</w:t>
            </w:r>
          </w:p>
        </w:tc>
        <w:tc>
          <w:tcPr>
            <w:tcW w:w="1559" w:type="dxa"/>
            <w:shd w:val="clear" w:color="auto" w:fill="auto"/>
            <w:vAlign w:val="center"/>
          </w:tcPr>
          <w:p w14:paraId="67F165E5" w14:textId="77777777" w:rsidR="0010460A" w:rsidRPr="00841F3D" w:rsidRDefault="0010460A" w:rsidP="009016F9">
            <w:pPr>
              <w:jc w:val="center"/>
              <w:rPr>
                <w:rFonts w:cs="Calibri"/>
                <w:sz w:val="20"/>
                <w:szCs w:val="20"/>
              </w:rPr>
            </w:pPr>
            <w:r w:rsidRPr="00841F3D">
              <w:rPr>
                <w:rFonts w:cs="Calibri"/>
                <w:color w:val="000000"/>
                <w:sz w:val="20"/>
                <w:szCs w:val="20"/>
              </w:rPr>
              <w:t>730,21</w:t>
            </w:r>
          </w:p>
        </w:tc>
        <w:tc>
          <w:tcPr>
            <w:tcW w:w="1560" w:type="dxa"/>
            <w:vAlign w:val="center"/>
          </w:tcPr>
          <w:p w14:paraId="32DEF954" w14:textId="77777777" w:rsidR="0010460A" w:rsidRPr="00841F3D" w:rsidRDefault="0010460A" w:rsidP="009016F9">
            <w:pPr>
              <w:jc w:val="center"/>
              <w:rPr>
                <w:rFonts w:cs="Calibri"/>
                <w:sz w:val="20"/>
                <w:szCs w:val="20"/>
              </w:rPr>
            </w:pPr>
            <w:r w:rsidRPr="00841F3D">
              <w:rPr>
                <w:rFonts w:cs="Calibri"/>
                <w:color w:val="000000"/>
                <w:sz w:val="20"/>
                <w:szCs w:val="20"/>
              </w:rPr>
              <w:t>759,95</w:t>
            </w:r>
          </w:p>
        </w:tc>
        <w:tc>
          <w:tcPr>
            <w:tcW w:w="1559" w:type="dxa"/>
            <w:vAlign w:val="center"/>
          </w:tcPr>
          <w:p w14:paraId="2F0FDE03" w14:textId="0719A758" w:rsidR="0010460A" w:rsidRPr="00841F3D" w:rsidRDefault="005B74B2" w:rsidP="009016F9">
            <w:pPr>
              <w:jc w:val="center"/>
              <w:rPr>
                <w:rFonts w:cs="Calibri"/>
                <w:sz w:val="20"/>
                <w:szCs w:val="20"/>
              </w:rPr>
            </w:pPr>
            <w:r>
              <w:rPr>
                <w:rFonts w:cs="Calibri"/>
                <w:sz w:val="20"/>
                <w:szCs w:val="20"/>
              </w:rPr>
              <w:t>827,65</w:t>
            </w:r>
          </w:p>
        </w:tc>
        <w:tc>
          <w:tcPr>
            <w:tcW w:w="1559" w:type="dxa"/>
            <w:vAlign w:val="center"/>
          </w:tcPr>
          <w:p w14:paraId="0EC4F268" w14:textId="39E9E95C" w:rsidR="0010460A" w:rsidRPr="00841F3D" w:rsidRDefault="005B74B2" w:rsidP="009016F9">
            <w:pPr>
              <w:jc w:val="center"/>
              <w:rPr>
                <w:rFonts w:cs="Calibri"/>
                <w:sz w:val="20"/>
                <w:szCs w:val="20"/>
              </w:rPr>
            </w:pPr>
            <w:r>
              <w:rPr>
                <w:rFonts w:cs="Calibri"/>
                <w:sz w:val="20"/>
                <w:szCs w:val="20"/>
              </w:rPr>
              <w:t>836,29</w:t>
            </w:r>
          </w:p>
        </w:tc>
        <w:tc>
          <w:tcPr>
            <w:tcW w:w="1418" w:type="dxa"/>
          </w:tcPr>
          <w:p w14:paraId="4FD04EB7" w14:textId="274F7270" w:rsidR="0010460A" w:rsidRDefault="005B74B2" w:rsidP="009016F9">
            <w:pPr>
              <w:jc w:val="center"/>
              <w:rPr>
                <w:rFonts w:cs="Calibri"/>
                <w:sz w:val="20"/>
                <w:szCs w:val="20"/>
              </w:rPr>
            </w:pPr>
            <w:r>
              <w:rPr>
                <w:rFonts w:cs="Calibri"/>
                <w:sz w:val="20"/>
                <w:szCs w:val="20"/>
              </w:rPr>
              <w:t>813,00</w:t>
            </w:r>
          </w:p>
        </w:tc>
      </w:tr>
    </w:tbl>
    <w:p w14:paraId="2869B10C" w14:textId="77777777" w:rsidR="005B74B2" w:rsidRDefault="005B74B2" w:rsidP="00C879D2">
      <w:pPr>
        <w:ind w:firstLine="709"/>
        <w:jc w:val="both"/>
        <w:rPr>
          <w:rFonts w:cs="Calibri"/>
        </w:rPr>
      </w:pPr>
    </w:p>
    <w:p w14:paraId="48E3B8D4" w14:textId="7BFEEBE6" w:rsidR="00C879D2" w:rsidRPr="009366DF" w:rsidRDefault="00C879D2" w:rsidP="00C879D2">
      <w:pPr>
        <w:ind w:firstLine="709"/>
        <w:jc w:val="both"/>
        <w:rPr>
          <w:rFonts w:cs="Calibri"/>
          <w:b/>
          <w:u w:val="single"/>
        </w:rPr>
      </w:pPr>
      <w:r w:rsidRPr="009366DF">
        <w:rPr>
          <w:rFonts w:cs="Calibri"/>
          <w:b/>
          <w:u w:val="single"/>
        </w:rPr>
        <w:t xml:space="preserve">Szacunkowa masa odpadów, która może zostać odebrana i zagospodarowana w </w:t>
      </w:r>
      <w:r w:rsidR="0010460A">
        <w:rPr>
          <w:rFonts w:cs="Calibri"/>
          <w:b/>
          <w:u w:val="single"/>
        </w:rPr>
        <w:t>2023 roku</w:t>
      </w:r>
      <w:r w:rsidRPr="009366DF">
        <w:rPr>
          <w:rFonts w:cs="Calibri"/>
          <w:b/>
          <w:u w:val="single"/>
        </w:rPr>
        <w:t xml:space="preserve"> to około </w:t>
      </w:r>
      <w:r w:rsidR="005B74B2">
        <w:rPr>
          <w:rFonts w:cs="Calibri"/>
          <w:b/>
          <w:u w:val="single"/>
        </w:rPr>
        <w:t>813,00</w:t>
      </w:r>
      <w:r w:rsidRPr="009366DF">
        <w:rPr>
          <w:rFonts w:cs="Calibri"/>
          <w:b/>
          <w:u w:val="single"/>
        </w:rPr>
        <w:t xml:space="preserve"> Mg.</w:t>
      </w:r>
    </w:p>
    <w:p w14:paraId="3E47C6D3" w14:textId="77777777" w:rsidR="00A46A52" w:rsidRPr="00FF2C45" w:rsidRDefault="00A46A52" w:rsidP="00714782">
      <w:pPr>
        <w:spacing w:after="0"/>
        <w:rPr>
          <w:rFonts w:cstheme="minorHAnsi"/>
        </w:rPr>
      </w:pPr>
    </w:p>
    <w:p w14:paraId="0390F3ED" w14:textId="2667733D" w:rsidR="009779A4" w:rsidRDefault="009779A4" w:rsidP="00714782">
      <w:pPr>
        <w:ind w:firstLine="709"/>
        <w:jc w:val="both"/>
        <w:rPr>
          <w:rFonts w:cstheme="minorHAnsi"/>
        </w:rPr>
      </w:pPr>
      <w:r w:rsidRPr="00FF2C45">
        <w:rPr>
          <w:rFonts w:cstheme="minorHAnsi"/>
        </w:rPr>
        <w:t>Z nieruchomości</w:t>
      </w:r>
      <w:r w:rsidR="007D3C7F" w:rsidRPr="00FF2C45">
        <w:rPr>
          <w:rFonts w:cstheme="minorHAnsi"/>
        </w:rPr>
        <w:t xml:space="preserve"> zlokalizowanych na terenie gminy Ślemień</w:t>
      </w:r>
      <w:r w:rsidR="00D07617" w:rsidRPr="00FF2C45">
        <w:rPr>
          <w:rFonts w:cstheme="minorHAnsi"/>
        </w:rPr>
        <w:t xml:space="preserve"> odpady wielkogabarytowe są </w:t>
      </w:r>
      <w:r w:rsidR="00FF2C45" w:rsidRPr="00FF2C45">
        <w:rPr>
          <w:rFonts w:cstheme="minorHAnsi"/>
        </w:rPr>
        <w:t>rok w roku</w:t>
      </w:r>
      <w:r w:rsidR="00D07617" w:rsidRPr="00FF2C45">
        <w:rPr>
          <w:rFonts w:cstheme="minorHAnsi"/>
        </w:rPr>
        <w:t xml:space="preserve">, odpady remontowo-budowlane raz w roku, bioodpady </w:t>
      </w:r>
      <w:r w:rsidR="00C879D2">
        <w:rPr>
          <w:rFonts w:cstheme="minorHAnsi"/>
        </w:rPr>
        <w:t xml:space="preserve">w okresie na </w:t>
      </w:r>
      <w:proofErr w:type="gramStart"/>
      <w:r w:rsidR="00C879D2">
        <w:rPr>
          <w:rFonts w:cstheme="minorHAnsi"/>
        </w:rPr>
        <w:t>maja do</w:t>
      </w:r>
      <w:proofErr w:type="gramEnd"/>
      <w:r w:rsidR="00C879D2">
        <w:rPr>
          <w:rFonts w:cstheme="minorHAnsi"/>
        </w:rPr>
        <w:t xml:space="preserve"> czerwca dwa razy </w:t>
      </w:r>
      <w:r w:rsidR="00C879D2">
        <w:rPr>
          <w:rFonts w:cstheme="minorHAnsi"/>
        </w:rPr>
        <w:lastRenderedPageBreak/>
        <w:t>w miesiącu</w:t>
      </w:r>
      <w:r w:rsidR="00FF2C45" w:rsidRPr="00FF2C45">
        <w:rPr>
          <w:rFonts w:cstheme="minorHAnsi"/>
        </w:rPr>
        <w:t xml:space="preserve">, </w:t>
      </w:r>
      <w:r w:rsidR="00D07617" w:rsidRPr="00FF2C45">
        <w:rPr>
          <w:rFonts w:cstheme="minorHAnsi"/>
        </w:rPr>
        <w:t>popiół w okresie zimowy</w:t>
      </w:r>
      <w:r w:rsidR="007D3C7F" w:rsidRPr="00FF2C45">
        <w:rPr>
          <w:rFonts w:cstheme="minorHAnsi"/>
        </w:rPr>
        <w:t>m</w:t>
      </w:r>
      <w:r w:rsidR="00D07617" w:rsidRPr="00FF2C45">
        <w:rPr>
          <w:rFonts w:cstheme="minorHAnsi"/>
        </w:rPr>
        <w:t xml:space="preserve"> dwa razy w miesiącu, natomiast w okresie letnim raz na miesiąc „na zgłoszenie”</w:t>
      </w:r>
      <w:r w:rsidR="00FF2C45" w:rsidRPr="00FF2C45">
        <w:rPr>
          <w:rFonts w:cstheme="minorHAnsi"/>
        </w:rPr>
        <w:t xml:space="preserve">, </w:t>
      </w:r>
    </w:p>
    <w:p w14:paraId="6B5C7A82" w14:textId="77777777" w:rsidR="0025734F" w:rsidRDefault="0025734F" w:rsidP="0025734F">
      <w:pPr>
        <w:jc w:val="both"/>
        <w:rPr>
          <w:rFonts w:cstheme="minorHAnsi"/>
        </w:rPr>
      </w:pPr>
    </w:p>
    <w:p w14:paraId="5ED1529B" w14:textId="6B47AB5C" w:rsidR="0025734F" w:rsidRPr="00FF2C45" w:rsidRDefault="0025734F" w:rsidP="0025734F">
      <w:pPr>
        <w:jc w:val="both"/>
        <w:rPr>
          <w:rFonts w:cstheme="minorHAnsi"/>
        </w:rPr>
      </w:pPr>
      <w:r>
        <w:t xml:space="preserve">Osiągnięty </w:t>
      </w:r>
      <w:r>
        <w:t>poziom recyklingu i przygotowania do ponownego użycia odpadów komunalnych</w:t>
      </w:r>
      <w:r>
        <w:t xml:space="preserve"> za 2022 rok – 14,22 %</w:t>
      </w:r>
    </w:p>
    <w:p w14:paraId="19D1E900" w14:textId="24E46A63" w:rsidR="00D07617" w:rsidRPr="00FF2C45" w:rsidRDefault="00D07617" w:rsidP="00E703DC">
      <w:pPr>
        <w:jc w:val="both"/>
        <w:rPr>
          <w:rFonts w:cstheme="minorHAnsi"/>
        </w:rPr>
      </w:pPr>
    </w:p>
    <w:p w14:paraId="69D21315" w14:textId="1371E2D6" w:rsidR="00D07617" w:rsidRPr="00FF2C45" w:rsidRDefault="00D07617" w:rsidP="00E703DC">
      <w:pPr>
        <w:jc w:val="both"/>
        <w:rPr>
          <w:rFonts w:cstheme="minorHAnsi"/>
        </w:rPr>
      </w:pPr>
      <w:r w:rsidRPr="00FF2C45">
        <w:rPr>
          <w:rFonts w:cstheme="minorHAnsi"/>
        </w:rPr>
        <w:t>AZBEST</w:t>
      </w:r>
    </w:p>
    <w:p w14:paraId="61220A7C" w14:textId="2ACD00B4" w:rsidR="00D07617" w:rsidRDefault="00D07617" w:rsidP="00E703DC">
      <w:pPr>
        <w:jc w:val="both"/>
        <w:rPr>
          <w:rFonts w:cstheme="minorHAnsi"/>
          <w:bCs/>
        </w:rPr>
      </w:pPr>
      <w:r w:rsidRPr="00FF2C45">
        <w:rPr>
          <w:rFonts w:cstheme="minorHAnsi"/>
        </w:rPr>
        <w:t xml:space="preserve">Na podstawie </w:t>
      </w:r>
      <w:r w:rsidRPr="00FF2C45">
        <w:rPr>
          <w:rFonts w:cstheme="minorHAnsi"/>
          <w:i/>
        </w:rPr>
        <w:t xml:space="preserve">uchwały </w:t>
      </w:r>
      <w:r w:rsidRPr="00FF2C45">
        <w:rPr>
          <w:rFonts w:cstheme="minorHAnsi"/>
          <w:bCs/>
          <w:i/>
        </w:rPr>
        <w:t>nr XLVII.255.2017</w:t>
      </w:r>
      <w:r w:rsidRPr="00FF2C45">
        <w:rPr>
          <w:rFonts w:cstheme="minorHAnsi"/>
          <w:i/>
        </w:rPr>
        <w:t xml:space="preserve"> </w:t>
      </w:r>
      <w:r w:rsidRPr="00FF2C45">
        <w:rPr>
          <w:rFonts w:cstheme="minorHAnsi"/>
          <w:bCs/>
          <w:i/>
        </w:rPr>
        <w:t xml:space="preserve">Rady Gminy w Ślemieniu </w:t>
      </w:r>
      <w:r w:rsidRPr="00FF2C45">
        <w:rPr>
          <w:rFonts w:cstheme="minorHAnsi"/>
          <w:i/>
        </w:rPr>
        <w:t xml:space="preserve">z dnia 30 listopada 2017 r. w sprawie „zmiany uchwały nr </w:t>
      </w:r>
      <w:r w:rsidRPr="00FF2C45">
        <w:rPr>
          <w:rFonts w:cstheme="minorHAnsi"/>
          <w:bCs/>
          <w:i/>
        </w:rPr>
        <w:t xml:space="preserve">XLIII.228.2017 </w:t>
      </w:r>
      <w:r w:rsidRPr="00FF2C45">
        <w:rPr>
          <w:rFonts w:cstheme="minorHAnsi"/>
          <w:i/>
        </w:rPr>
        <w:t xml:space="preserve">Rady Gminy w Ślemieniu z dnia 20 lipca 2017 roku w sprawie </w:t>
      </w:r>
      <w:r w:rsidRPr="00FF2C45">
        <w:rPr>
          <w:rFonts w:cstheme="minorHAnsi"/>
          <w:bCs/>
          <w:i/>
        </w:rPr>
        <w:t xml:space="preserve">zasad udzielania dotacji celowej na dofinansowanie kosztów usuwania wyrobów zawierających azbest </w:t>
      </w:r>
      <w:r w:rsidR="00E703DC" w:rsidRPr="00FF2C45">
        <w:rPr>
          <w:rFonts w:cstheme="minorHAnsi"/>
          <w:bCs/>
          <w:i/>
        </w:rPr>
        <w:t xml:space="preserve">               </w:t>
      </w:r>
      <w:r w:rsidRPr="00FF2C45">
        <w:rPr>
          <w:rFonts w:cstheme="minorHAnsi"/>
          <w:bCs/>
          <w:i/>
        </w:rPr>
        <w:t>z terenu gminy Ślemień</w:t>
      </w:r>
      <w:r w:rsidRPr="00FF2C45">
        <w:rPr>
          <w:rFonts w:cstheme="minorHAnsi"/>
          <w:bCs/>
        </w:rPr>
        <w:t xml:space="preserve">” oraz w związku z realizacją </w:t>
      </w:r>
      <w:r w:rsidR="00392B7A" w:rsidRPr="00FF2C45">
        <w:rPr>
          <w:rFonts w:cstheme="minorHAnsi"/>
          <w:bCs/>
          <w:i/>
        </w:rPr>
        <w:t xml:space="preserve">uchwały nr XV.80.2011 Rady Gminy w Ślemieniu </w:t>
      </w:r>
      <w:r w:rsidR="00E703DC" w:rsidRPr="00FF2C45">
        <w:rPr>
          <w:rFonts w:cstheme="minorHAnsi"/>
          <w:bCs/>
          <w:i/>
        </w:rPr>
        <w:t xml:space="preserve">     </w:t>
      </w:r>
      <w:r w:rsidR="00392B7A" w:rsidRPr="00FF2C45">
        <w:rPr>
          <w:rFonts w:cstheme="minorHAnsi"/>
          <w:bCs/>
          <w:i/>
        </w:rPr>
        <w:t>z dnia 07 grudnia 2011 r. w sprawie przyjęcia „</w:t>
      </w:r>
      <w:r w:rsidR="00392B7A" w:rsidRPr="00FF2C45">
        <w:rPr>
          <w:rFonts w:cstheme="minorHAnsi"/>
          <w:i/>
          <w:shd w:val="clear" w:color="auto" w:fill="FFFFFF"/>
        </w:rPr>
        <w:t>Program</w:t>
      </w:r>
      <w:r w:rsidR="00B11FD0" w:rsidRPr="00FF2C45">
        <w:rPr>
          <w:rFonts w:cstheme="minorHAnsi"/>
          <w:i/>
          <w:shd w:val="clear" w:color="auto" w:fill="FFFFFF"/>
        </w:rPr>
        <w:t>u</w:t>
      </w:r>
      <w:r w:rsidR="00392B7A" w:rsidRPr="00FF2C45">
        <w:rPr>
          <w:rFonts w:cstheme="minorHAnsi"/>
          <w:i/>
          <w:shd w:val="clear" w:color="auto" w:fill="FFFFFF"/>
        </w:rPr>
        <w:t xml:space="preserve"> usuwania azbestu i wyrobów azbestowych dla gminy Ślemień</w:t>
      </w:r>
      <w:r w:rsidR="00392B7A" w:rsidRPr="00FF2C45">
        <w:rPr>
          <w:rFonts w:cstheme="minorHAnsi"/>
          <w:bCs/>
          <w:i/>
        </w:rPr>
        <w:t>”</w:t>
      </w:r>
      <w:r w:rsidR="00392B7A" w:rsidRPr="00FF2C45">
        <w:rPr>
          <w:rFonts w:cstheme="minorHAnsi"/>
          <w:bCs/>
        </w:rPr>
        <w:t xml:space="preserve"> w roku 20</w:t>
      </w:r>
      <w:r w:rsidR="00FF2C45" w:rsidRPr="00FF2C45">
        <w:rPr>
          <w:rFonts w:cstheme="minorHAnsi"/>
          <w:bCs/>
        </w:rPr>
        <w:t>2</w:t>
      </w:r>
      <w:r w:rsidR="005B74B2">
        <w:rPr>
          <w:rFonts w:cstheme="minorHAnsi"/>
          <w:bCs/>
        </w:rPr>
        <w:t>2</w:t>
      </w:r>
      <w:r w:rsidR="009C3082" w:rsidRPr="00FF2C45">
        <w:rPr>
          <w:rFonts w:cstheme="minorHAnsi"/>
          <w:bCs/>
        </w:rPr>
        <w:t xml:space="preserve"> </w:t>
      </w:r>
      <w:r w:rsidR="007D3C7F" w:rsidRPr="00FF2C45">
        <w:rPr>
          <w:rFonts w:cstheme="minorHAnsi"/>
          <w:bCs/>
        </w:rPr>
        <w:t>ze środków własnych Gminy</w:t>
      </w:r>
      <w:r w:rsidR="005B74B2">
        <w:rPr>
          <w:rFonts w:cstheme="minorHAnsi"/>
          <w:bCs/>
        </w:rPr>
        <w:t xml:space="preserve"> nie</w:t>
      </w:r>
      <w:r w:rsidR="007D3C7F" w:rsidRPr="00FF2C45">
        <w:rPr>
          <w:rFonts w:cstheme="minorHAnsi"/>
          <w:bCs/>
        </w:rPr>
        <w:t xml:space="preserve"> </w:t>
      </w:r>
      <w:r w:rsidR="009C3082" w:rsidRPr="00FF2C45">
        <w:rPr>
          <w:rFonts w:cstheme="minorHAnsi"/>
          <w:bCs/>
        </w:rPr>
        <w:t xml:space="preserve">udzielono </w:t>
      </w:r>
      <w:r w:rsidR="007D3C7F" w:rsidRPr="00FF2C45">
        <w:rPr>
          <w:rFonts w:cstheme="minorHAnsi"/>
          <w:bCs/>
        </w:rPr>
        <w:t>dofinansowania.</w:t>
      </w:r>
    </w:p>
    <w:p w14:paraId="57594C94" w14:textId="7997AF31" w:rsidR="00F36EEA" w:rsidRPr="00FF2C45" w:rsidRDefault="00F36EEA" w:rsidP="00E703DC">
      <w:pPr>
        <w:jc w:val="both"/>
        <w:rPr>
          <w:rFonts w:cstheme="minorHAnsi"/>
        </w:rPr>
      </w:pPr>
      <w:r>
        <w:rPr>
          <w:rFonts w:cstheme="minorHAnsi"/>
          <w:bCs/>
        </w:rPr>
        <w:t xml:space="preserve">Ponadto Gmina współpracowała z Wojewódzkim Funduszem Ochrony Środowiska i Gospodarki Wodnej w Katowicach w zakresie usuwania wyrobów azbestowych. W ramach współpracy uzyskano dotację na utylizację </w:t>
      </w:r>
      <w:r w:rsidR="005B74B2">
        <w:rPr>
          <w:rFonts w:cstheme="minorHAnsi"/>
          <w:bCs/>
        </w:rPr>
        <w:t>59,</w:t>
      </w:r>
      <w:r w:rsidR="00DF301F">
        <w:rPr>
          <w:rFonts w:cstheme="minorHAnsi"/>
          <w:bCs/>
        </w:rPr>
        <w:t>96</w:t>
      </w:r>
      <w:r>
        <w:rPr>
          <w:rFonts w:cstheme="minorHAnsi"/>
          <w:bCs/>
        </w:rPr>
        <w:t xml:space="preserve"> ton wyrobów azbestowych (</w:t>
      </w:r>
      <w:r w:rsidR="00DF301F">
        <w:rPr>
          <w:rFonts w:cstheme="minorHAnsi"/>
          <w:bCs/>
        </w:rPr>
        <w:t>52,48</w:t>
      </w:r>
      <w:r>
        <w:rPr>
          <w:rFonts w:cstheme="minorHAnsi"/>
          <w:bCs/>
        </w:rPr>
        <w:t xml:space="preserve"> tony podlegało transporcie i utylizacji, </w:t>
      </w:r>
      <w:r w:rsidR="00DF301F">
        <w:rPr>
          <w:rFonts w:cstheme="minorHAnsi"/>
          <w:bCs/>
        </w:rPr>
        <w:t>7,48</w:t>
      </w:r>
      <w:r>
        <w:rPr>
          <w:rFonts w:cstheme="minorHAnsi"/>
          <w:bCs/>
        </w:rPr>
        <w:t xml:space="preserve"> tony zostało zdemontowane i zutylizowane). Łączny koszt inwestycji wyniósł </w:t>
      </w:r>
      <w:r w:rsidR="00DF301F">
        <w:rPr>
          <w:rFonts w:cstheme="minorHAnsi"/>
          <w:bCs/>
        </w:rPr>
        <w:t>30680,</w:t>
      </w:r>
      <w:r>
        <w:rPr>
          <w:rFonts w:cstheme="minorHAnsi"/>
          <w:bCs/>
        </w:rPr>
        <w:t xml:space="preserve"> zł (środki w </w:t>
      </w:r>
      <w:r w:rsidR="00E62D1F">
        <w:rPr>
          <w:rFonts w:cstheme="minorHAnsi"/>
          <w:bCs/>
        </w:rPr>
        <w:t>kwocie 30012,37 zł</w:t>
      </w:r>
      <w:r w:rsidR="00BE73D5">
        <w:rPr>
          <w:rFonts w:cstheme="minorHAnsi"/>
          <w:bCs/>
        </w:rPr>
        <w:t xml:space="preserve"> pokryte przez WFOŚiGW</w:t>
      </w:r>
      <w:r w:rsidR="00E62D1F">
        <w:rPr>
          <w:rFonts w:cstheme="minorHAnsi"/>
          <w:bCs/>
        </w:rPr>
        <w:t xml:space="preserve"> oraz w kwocie 667,66 zł przez mieszkańców /dopłata do demontażu/</w:t>
      </w:r>
      <w:r w:rsidR="00BE73D5">
        <w:rPr>
          <w:rFonts w:cstheme="minorHAnsi"/>
          <w:bCs/>
        </w:rPr>
        <w:t>).</w:t>
      </w:r>
    </w:p>
    <w:p w14:paraId="57F8C8CE" w14:textId="140800FD" w:rsidR="009779A4" w:rsidRPr="00FF2C45" w:rsidRDefault="009779A4" w:rsidP="00E703DC">
      <w:pPr>
        <w:jc w:val="both"/>
        <w:rPr>
          <w:rFonts w:cstheme="minorHAnsi"/>
        </w:rPr>
      </w:pPr>
    </w:p>
    <w:p w14:paraId="121AB511" w14:textId="13F02738" w:rsidR="007D3C7F" w:rsidRPr="00FF2C45" w:rsidRDefault="007D3C7F" w:rsidP="00E703DC">
      <w:pPr>
        <w:jc w:val="both"/>
        <w:rPr>
          <w:rFonts w:cstheme="minorHAnsi"/>
        </w:rPr>
      </w:pPr>
      <w:r w:rsidRPr="00FF2C45">
        <w:rPr>
          <w:rFonts w:cstheme="minorHAnsi"/>
        </w:rPr>
        <w:t>Wymiana kotłów c.o.</w:t>
      </w:r>
    </w:p>
    <w:p w14:paraId="07912390" w14:textId="150284DC" w:rsidR="00DC1159" w:rsidRDefault="007D3C7F" w:rsidP="00E703DC">
      <w:pPr>
        <w:spacing w:line="240" w:lineRule="auto"/>
        <w:contextualSpacing/>
        <w:jc w:val="both"/>
        <w:rPr>
          <w:rFonts w:cstheme="minorHAnsi"/>
        </w:rPr>
      </w:pPr>
      <w:r w:rsidRPr="00FF2C45">
        <w:rPr>
          <w:rFonts w:cstheme="minorHAnsi"/>
        </w:rPr>
        <w:t xml:space="preserve">Na podstawie </w:t>
      </w:r>
      <w:r w:rsidR="00DC1159" w:rsidRPr="00FF2C45">
        <w:rPr>
          <w:rFonts w:cstheme="minorHAnsi"/>
          <w:i/>
        </w:rPr>
        <w:t xml:space="preserve">uchwały Nr XLVII.254.2017 Rady Gminy w Ślemieniu z dnia 30 listopada 2017 r. </w:t>
      </w:r>
      <w:r w:rsidR="00E703DC" w:rsidRPr="00FF2C45">
        <w:rPr>
          <w:rFonts w:cstheme="minorHAnsi"/>
          <w:i/>
        </w:rPr>
        <w:t xml:space="preserve">                   </w:t>
      </w:r>
      <w:r w:rsidR="00DC1159" w:rsidRPr="00FF2C45">
        <w:rPr>
          <w:rFonts w:cstheme="minorHAnsi"/>
          <w:i/>
        </w:rPr>
        <w:t xml:space="preserve">„w sprawie zmiany w uchwale nr XLIII.227.2017 Rady Gminy w Ślemieniu z dnia 20 lipca 2017 roku </w:t>
      </w:r>
      <w:r w:rsidR="00E703DC" w:rsidRPr="00FF2C45">
        <w:rPr>
          <w:rFonts w:cstheme="minorHAnsi"/>
          <w:i/>
        </w:rPr>
        <w:t xml:space="preserve">         </w:t>
      </w:r>
      <w:r w:rsidR="00DC1159" w:rsidRPr="00FF2C45">
        <w:rPr>
          <w:rFonts w:cstheme="minorHAnsi"/>
          <w:i/>
        </w:rPr>
        <w:t>w sprawie udzielania dotacji celowej na dofinansowanie kosztów inwestycji służących ochronie powietrza polegających na wymianie źródeł ciepła w budynkach mieszkalnych na terenie gminy Ślemień”</w:t>
      </w:r>
      <w:r w:rsidR="00DC1159" w:rsidRPr="00FF2C45">
        <w:rPr>
          <w:rFonts w:cstheme="minorHAnsi"/>
        </w:rPr>
        <w:t xml:space="preserve"> oraz w związku z realizacją</w:t>
      </w:r>
      <w:r w:rsidR="005C58ED" w:rsidRPr="00FF2C45">
        <w:rPr>
          <w:rFonts w:cstheme="minorHAnsi"/>
        </w:rPr>
        <w:t xml:space="preserve"> uchwały nr XXV.125.2016 Rady Gminy w Ślemieniu z dnia 29 czerwca 2016 r. „w sprawie przyjęcia Planu gospodarki niskoemisyjnej dla Gminy Ślemień” w roku 20</w:t>
      </w:r>
      <w:r w:rsidR="00FF2C45" w:rsidRPr="00FF2C45">
        <w:rPr>
          <w:rFonts w:cstheme="minorHAnsi"/>
        </w:rPr>
        <w:t>2</w:t>
      </w:r>
      <w:r w:rsidR="00E62D1F">
        <w:rPr>
          <w:rFonts w:cstheme="minorHAnsi"/>
        </w:rPr>
        <w:t>2</w:t>
      </w:r>
      <w:r w:rsidR="005C58ED" w:rsidRPr="00FF2C45">
        <w:rPr>
          <w:rFonts w:cstheme="minorHAnsi"/>
        </w:rPr>
        <w:t xml:space="preserve"> zrealizowano dofinansowanie do wymiany </w:t>
      </w:r>
      <w:r w:rsidR="00871346">
        <w:rPr>
          <w:rFonts w:cstheme="minorHAnsi"/>
        </w:rPr>
        <w:t>1</w:t>
      </w:r>
      <w:r w:rsidR="00E62D1F">
        <w:rPr>
          <w:rFonts w:cstheme="minorHAnsi"/>
        </w:rPr>
        <w:t>3</w:t>
      </w:r>
      <w:r w:rsidR="005C58ED" w:rsidRPr="00FF2C45">
        <w:rPr>
          <w:rFonts w:cstheme="minorHAnsi"/>
        </w:rPr>
        <w:t xml:space="preserve"> pieców (</w:t>
      </w:r>
      <w:r w:rsidR="00E62D1F">
        <w:rPr>
          <w:rFonts w:cstheme="minorHAnsi"/>
        </w:rPr>
        <w:t>3</w:t>
      </w:r>
      <w:r w:rsidR="005C58ED" w:rsidRPr="00FF2C45">
        <w:rPr>
          <w:rFonts w:cstheme="minorHAnsi"/>
        </w:rPr>
        <w:t xml:space="preserve"> na </w:t>
      </w:r>
      <w:r w:rsidR="00E62D1F">
        <w:rPr>
          <w:rFonts w:cstheme="minorHAnsi"/>
        </w:rPr>
        <w:t>węgiel</w:t>
      </w:r>
      <w:r w:rsidR="005C58ED" w:rsidRPr="00FF2C45">
        <w:rPr>
          <w:rFonts w:cstheme="minorHAnsi"/>
        </w:rPr>
        <w:t xml:space="preserve">, </w:t>
      </w:r>
      <w:r w:rsidR="00E62D1F">
        <w:rPr>
          <w:rFonts w:cstheme="minorHAnsi"/>
        </w:rPr>
        <w:t>10</w:t>
      </w:r>
      <w:r w:rsidR="005C58ED" w:rsidRPr="00FF2C45">
        <w:rPr>
          <w:rFonts w:cstheme="minorHAnsi"/>
        </w:rPr>
        <w:t xml:space="preserve"> na </w:t>
      </w:r>
      <w:proofErr w:type="spellStart"/>
      <w:r w:rsidR="005C58ED" w:rsidRPr="00FF2C45">
        <w:rPr>
          <w:rFonts w:cstheme="minorHAnsi"/>
        </w:rPr>
        <w:t>pelet</w:t>
      </w:r>
      <w:proofErr w:type="spellEnd"/>
      <w:r w:rsidR="00E62D1F">
        <w:rPr>
          <w:rFonts w:cstheme="minorHAnsi"/>
        </w:rPr>
        <w:t>, 1 to ogrzewanie elektryczne</w:t>
      </w:r>
      <w:r w:rsidR="005C58ED" w:rsidRPr="00FF2C45">
        <w:rPr>
          <w:rFonts w:cstheme="minorHAnsi"/>
        </w:rPr>
        <w:t xml:space="preserve">). Łączny koszt to kwota </w:t>
      </w:r>
      <w:r w:rsidR="00E62D1F">
        <w:rPr>
          <w:rFonts w:cstheme="minorHAnsi"/>
        </w:rPr>
        <w:t xml:space="preserve">19 418,82 </w:t>
      </w:r>
      <w:r w:rsidR="005C58ED" w:rsidRPr="00FF2C45">
        <w:rPr>
          <w:rFonts w:cstheme="minorHAnsi"/>
        </w:rPr>
        <w:t xml:space="preserve">zł. Ponadto zawarto </w:t>
      </w:r>
      <w:r w:rsidR="00E62D1F">
        <w:rPr>
          <w:rFonts w:cstheme="minorHAnsi"/>
        </w:rPr>
        <w:t>5 dodatkowych umów</w:t>
      </w:r>
      <w:r w:rsidR="005C58ED" w:rsidRPr="00FF2C45">
        <w:rPr>
          <w:rFonts w:cstheme="minorHAnsi"/>
        </w:rPr>
        <w:t xml:space="preserve"> o dofinansowanie jednak </w:t>
      </w:r>
      <w:r w:rsidR="00714782" w:rsidRPr="00FF2C45">
        <w:rPr>
          <w:rFonts w:cstheme="minorHAnsi"/>
        </w:rPr>
        <w:t>zainteresowana</w:t>
      </w:r>
      <w:r w:rsidR="005C58ED" w:rsidRPr="00FF2C45">
        <w:rPr>
          <w:rFonts w:cstheme="minorHAnsi"/>
        </w:rPr>
        <w:t xml:space="preserve"> </w:t>
      </w:r>
      <w:r w:rsidR="00714782" w:rsidRPr="00FF2C45">
        <w:rPr>
          <w:rFonts w:cstheme="minorHAnsi"/>
        </w:rPr>
        <w:t>osoba nie zrealizowała inwestycji w wyznaczonym terminie.</w:t>
      </w:r>
      <w:r w:rsidR="00871346">
        <w:rPr>
          <w:rFonts w:cstheme="minorHAnsi"/>
        </w:rPr>
        <w:t xml:space="preserve"> W jednym przypadku wydano odmowę w związku z brakiem środków finansowych.</w:t>
      </w:r>
    </w:p>
    <w:p w14:paraId="352E6B46" w14:textId="20C9B215" w:rsidR="00871346" w:rsidRDefault="00871346" w:rsidP="00E703DC">
      <w:pPr>
        <w:spacing w:line="240" w:lineRule="auto"/>
        <w:contextualSpacing/>
        <w:jc w:val="both"/>
        <w:rPr>
          <w:rFonts w:cstheme="minorHAnsi"/>
        </w:rPr>
      </w:pPr>
    </w:p>
    <w:p w14:paraId="62DB23BA" w14:textId="3982F984" w:rsidR="00F862D4" w:rsidRDefault="00E62D1F" w:rsidP="00E703DC">
      <w:pPr>
        <w:spacing w:line="240" w:lineRule="auto"/>
        <w:contextualSpacing/>
        <w:jc w:val="both"/>
        <w:rPr>
          <w:rFonts w:cstheme="minorHAnsi"/>
        </w:rPr>
      </w:pPr>
      <w:r>
        <w:rPr>
          <w:rFonts w:cstheme="minorHAnsi"/>
        </w:rPr>
        <w:t>Od</w:t>
      </w:r>
      <w:r w:rsidR="00F862D4">
        <w:rPr>
          <w:rFonts w:cstheme="minorHAnsi"/>
        </w:rPr>
        <w:t xml:space="preserve"> czerwc</w:t>
      </w:r>
      <w:r>
        <w:rPr>
          <w:rFonts w:cstheme="minorHAnsi"/>
        </w:rPr>
        <w:t>a</w:t>
      </w:r>
      <w:r w:rsidR="00F862D4">
        <w:rPr>
          <w:rFonts w:cstheme="minorHAnsi"/>
        </w:rPr>
        <w:t xml:space="preserve"> 2021 r. podpisano porozumienie z WFOŚiGW o utworzeniu punktu konsultacyjno-informacyjnego dla programu Czyste Powietrze. Punkt działa</w:t>
      </w:r>
      <w:r w:rsidR="00311A9F">
        <w:rPr>
          <w:rFonts w:cstheme="minorHAnsi"/>
        </w:rPr>
        <w:t xml:space="preserve"> w Urzędzie Gminy w Ślemieniu</w:t>
      </w:r>
      <w:r w:rsidR="00F862D4">
        <w:rPr>
          <w:rFonts w:cstheme="minorHAnsi"/>
        </w:rPr>
        <w:t xml:space="preserve"> od </w:t>
      </w:r>
      <w:r w:rsidR="00311A9F">
        <w:rPr>
          <w:rFonts w:cstheme="minorHAnsi"/>
        </w:rPr>
        <w:t>września</w:t>
      </w:r>
      <w:r w:rsidR="00F862D4">
        <w:rPr>
          <w:rFonts w:cstheme="minorHAnsi"/>
        </w:rPr>
        <w:t xml:space="preserve"> 2021 r.</w:t>
      </w:r>
      <w:r w:rsidR="00311A9F">
        <w:rPr>
          <w:rFonts w:cstheme="minorHAnsi"/>
        </w:rPr>
        <w:t>,</w:t>
      </w:r>
      <w:r w:rsidR="00F862D4">
        <w:rPr>
          <w:rFonts w:cstheme="minorHAnsi"/>
        </w:rPr>
        <w:t xml:space="preserve"> jest czynny dwa razy w </w:t>
      </w:r>
      <w:r w:rsidR="00311A9F">
        <w:rPr>
          <w:rFonts w:cstheme="minorHAnsi"/>
        </w:rPr>
        <w:t>tygodniu. M</w:t>
      </w:r>
      <w:r w:rsidR="00F862D4">
        <w:rPr>
          <w:rFonts w:cstheme="minorHAnsi"/>
        </w:rPr>
        <w:t xml:space="preserve">ieszkańcy mogą </w:t>
      </w:r>
      <w:r w:rsidR="00311A9F">
        <w:rPr>
          <w:rFonts w:cstheme="minorHAnsi"/>
        </w:rPr>
        <w:t xml:space="preserve">tam </w:t>
      </w:r>
      <w:r w:rsidR="00F862D4">
        <w:rPr>
          <w:rFonts w:cstheme="minorHAnsi"/>
        </w:rPr>
        <w:t xml:space="preserve">złożyć wniosek do programu, </w:t>
      </w:r>
      <w:r w:rsidR="00311A9F">
        <w:rPr>
          <w:rFonts w:cstheme="minorHAnsi"/>
        </w:rPr>
        <w:t>uzyskać</w:t>
      </w:r>
      <w:r w:rsidR="00F862D4">
        <w:rPr>
          <w:rFonts w:cstheme="minorHAnsi"/>
        </w:rPr>
        <w:t xml:space="preserve"> pomoc przy wypełnianiu dokumentów oraz zaczerpnąć informacji o możliwości uzyskania dotacji.</w:t>
      </w:r>
    </w:p>
    <w:p w14:paraId="730F4723" w14:textId="70AAFE83" w:rsidR="00F862D4" w:rsidRDefault="00F862D4" w:rsidP="00E703DC">
      <w:pPr>
        <w:spacing w:line="240" w:lineRule="auto"/>
        <w:contextualSpacing/>
        <w:jc w:val="both"/>
        <w:rPr>
          <w:rFonts w:cstheme="minorHAnsi"/>
        </w:rPr>
      </w:pPr>
    </w:p>
    <w:p w14:paraId="6AF2E551" w14:textId="77777777" w:rsidR="00E62D1F" w:rsidRDefault="00E62D1F" w:rsidP="00E703DC">
      <w:pPr>
        <w:spacing w:line="240" w:lineRule="auto"/>
        <w:contextualSpacing/>
        <w:jc w:val="both"/>
        <w:rPr>
          <w:rFonts w:cstheme="minorHAnsi"/>
        </w:rPr>
      </w:pPr>
    </w:p>
    <w:p w14:paraId="7F1D5BEB" w14:textId="78D47413" w:rsidR="007D3C7F" w:rsidRDefault="007D3C7F" w:rsidP="00E703DC">
      <w:pPr>
        <w:jc w:val="both"/>
      </w:pPr>
    </w:p>
    <w:sectPr w:rsidR="007D3C7F" w:rsidSect="00C879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78CF"/>
    <w:multiLevelType w:val="hybridMultilevel"/>
    <w:tmpl w:val="13866000"/>
    <w:lvl w:ilvl="0" w:tplc="0415000F">
      <w:start w:val="1"/>
      <w:numFmt w:val="decimal"/>
      <w:lvlText w:val="%1."/>
      <w:lvlJc w:val="left"/>
      <w:pPr>
        <w:ind w:left="720" w:hanging="360"/>
      </w:pPr>
      <w:rPr>
        <w:rFonts w:hint="default"/>
      </w:rPr>
    </w:lvl>
    <w:lvl w:ilvl="1" w:tplc="612C2C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C64703"/>
    <w:multiLevelType w:val="hybridMultilevel"/>
    <w:tmpl w:val="D6E83F2C"/>
    <w:lvl w:ilvl="0" w:tplc="04209DD0">
      <w:start w:val="1"/>
      <w:numFmt w:val="decimal"/>
      <w:lvlText w:val="%1."/>
      <w:lvlJc w:val="left"/>
      <w:pPr>
        <w:ind w:left="720" w:hanging="360"/>
      </w:pPr>
      <w:rPr>
        <w:b w:val="0"/>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0412615">
    <w:abstractNumId w:val="0"/>
  </w:num>
  <w:num w:numId="2" w16cid:durableId="60707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8"/>
    <w:rsid w:val="00093486"/>
    <w:rsid w:val="000D499B"/>
    <w:rsid w:val="0010460A"/>
    <w:rsid w:val="001B35CA"/>
    <w:rsid w:val="001D4E65"/>
    <w:rsid w:val="002333B3"/>
    <w:rsid w:val="002533DB"/>
    <w:rsid w:val="0025734F"/>
    <w:rsid w:val="00311A9F"/>
    <w:rsid w:val="00317B6F"/>
    <w:rsid w:val="00333A44"/>
    <w:rsid w:val="00392B7A"/>
    <w:rsid w:val="003A3734"/>
    <w:rsid w:val="00443701"/>
    <w:rsid w:val="00453278"/>
    <w:rsid w:val="004C636E"/>
    <w:rsid w:val="004F0002"/>
    <w:rsid w:val="005B74B2"/>
    <w:rsid w:val="005C58ED"/>
    <w:rsid w:val="00606842"/>
    <w:rsid w:val="0066556A"/>
    <w:rsid w:val="006A5F12"/>
    <w:rsid w:val="006D4F09"/>
    <w:rsid w:val="00714782"/>
    <w:rsid w:val="00740BC4"/>
    <w:rsid w:val="007426DC"/>
    <w:rsid w:val="007945B1"/>
    <w:rsid w:val="007D3C7F"/>
    <w:rsid w:val="007D47E8"/>
    <w:rsid w:val="007D5C69"/>
    <w:rsid w:val="008167BE"/>
    <w:rsid w:val="00871346"/>
    <w:rsid w:val="009779A4"/>
    <w:rsid w:val="009869D4"/>
    <w:rsid w:val="00993954"/>
    <w:rsid w:val="009B0D4F"/>
    <w:rsid w:val="009C3082"/>
    <w:rsid w:val="009C50B8"/>
    <w:rsid w:val="009D5B7E"/>
    <w:rsid w:val="00A46A52"/>
    <w:rsid w:val="00A756E1"/>
    <w:rsid w:val="00AA7FC1"/>
    <w:rsid w:val="00B11FD0"/>
    <w:rsid w:val="00BE73D5"/>
    <w:rsid w:val="00C40C48"/>
    <w:rsid w:val="00C819C1"/>
    <w:rsid w:val="00C879D2"/>
    <w:rsid w:val="00CA4211"/>
    <w:rsid w:val="00CA5854"/>
    <w:rsid w:val="00D07617"/>
    <w:rsid w:val="00D44E33"/>
    <w:rsid w:val="00DC1159"/>
    <w:rsid w:val="00DE17BD"/>
    <w:rsid w:val="00DF301F"/>
    <w:rsid w:val="00E62D1F"/>
    <w:rsid w:val="00E703DC"/>
    <w:rsid w:val="00F36EEA"/>
    <w:rsid w:val="00F862D4"/>
    <w:rsid w:val="00FF2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9184"/>
  <w15:chartTrackingRefBased/>
  <w15:docId w15:val="{0DA28CCA-0881-430A-B512-B3FD011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1159"/>
    <w:pPr>
      <w:keepNext/>
      <w:spacing w:after="0" w:line="240" w:lineRule="auto"/>
      <w:jc w:val="center"/>
      <w:outlineLvl w:val="0"/>
    </w:pPr>
    <w:rPr>
      <w:rFonts w:ascii="Arial" w:eastAsia="Times New Roman" w:hAnsi="Arial"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92B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C1159"/>
    <w:rPr>
      <w:rFonts w:ascii="Arial" w:eastAsia="Times New Roman" w:hAnsi="Arial"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63138">
      <w:bodyDiv w:val="1"/>
      <w:marLeft w:val="0"/>
      <w:marRight w:val="0"/>
      <w:marTop w:val="0"/>
      <w:marBottom w:val="0"/>
      <w:divBdr>
        <w:top w:val="none" w:sz="0" w:space="0" w:color="auto"/>
        <w:left w:val="none" w:sz="0" w:space="0" w:color="auto"/>
        <w:bottom w:val="none" w:sz="0" w:space="0" w:color="auto"/>
        <w:right w:val="none" w:sz="0" w:space="0" w:color="auto"/>
      </w:divBdr>
    </w:div>
    <w:div w:id="1292445461">
      <w:bodyDiv w:val="1"/>
      <w:marLeft w:val="0"/>
      <w:marRight w:val="0"/>
      <w:marTop w:val="0"/>
      <w:marBottom w:val="0"/>
      <w:divBdr>
        <w:top w:val="none" w:sz="0" w:space="0" w:color="auto"/>
        <w:left w:val="none" w:sz="0" w:space="0" w:color="auto"/>
        <w:bottom w:val="none" w:sz="0" w:space="0" w:color="auto"/>
        <w:right w:val="none" w:sz="0" w:space="0" w:color="auto"/>
      </w:divBdr>
    </w:div>
    <w:div w:id="1796557123">
      <w:bodyDiv w:val="1"/>
      <w:marLeft w:val="0"/>
      <w:marRight w:val="0"/>
      <w:marTop w:val="0"/>
      <w:marBottom w:val="0"/>
      <w:divBdr>
        <w:top w:val="none" w:sz="0" w:space="0" w:color="auto"/>
        <w:left w:val="none" w:sz="0" w:space="0" w:color="auto"/>
        <w:bottom w:val="none" w:sz="0" w:space="0" w:color="auto"/>
        <w:right w:val="none" w:sz="0" w:space="0" w:color="auto"/>
      </w:divBdr>
      <w:divsChild>
        <w:div w:id="168127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1006</Words>
  <Characters>6037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mariusz_borowy</dc:creator>
  <cp:keywords/>
  <dc:description/>
  <cp:lastModifiedBy>Mariusz Borowy</cp:lastModifiedBy>
  <cp:revision>5</cp:revision>
  <dcterms:created xsi:type="dcterms:W3CDTF">2023-03-30T12:22:00Z</dcterms:created>
  <dcterms:modified xsi:type="dcterms:W3CDTF">2023-05-17T12:01:00Z</dcterms:modified>
</cp:coreProperties>
</file>