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B5C04" w14:textId="19CB7A16" w:rsidR="002955E0" w:rsidRPr="002955E0" w:rsidRDefault="002955E0" w:rsidP="002955E0">
      <w:pPr>
        <w:rPr>
          <w:rFonts w:cstheme="minorHAnsi"/>
        </w:rPr>
      </w:pPr>
      <w:r w:rsidRPr="002955E0">
        <w:rPr>
          <w:rFonts w:cstheme="minorHAnsi"/>
        </w:rPr>
        <w:t>Gospodarka odpadami i ochrona środowiska za 202</w:t>
      </w:r>
      <w:r>
        <w:rPr>
          <w:rFonts w:cstheme="minorHAnsi"/>
        </w:rPr>
        <w:t>4</w:t>
      </w:r>
      <w:r w:rsidRPr="002955E0">
        <w:rPr>
          <w:rFonts w:cstheme="minorHAnsi"/>
        </w:rPr>
        <w:t xml:space="preserve"> rok</w:t>
      </w:r>
    </w:p>
    <w:p w14:paraId="00A880AC" w14:textId="77777777" w:rsidR="002955E0" w:rsidRDefault="002955E0">
      <w:pPr>
        <w:rPr>
          <w:rFonts w:cstheme="minorHAnsi"/>
        </w:rPr>
      </w:pPr>
    </w:p>
    <w:p w14:paraId="6662543A" w14:textId="05C8BA87" w:rsidR="00443701" w:rsidRPr="00FF2C45" w:rsidRDefault="00443701">
      <w:pPr>
        <w:rPr>
          <w:rFonts w:cstheme="minorHAnsi"/>
        </w:rPr>
      </w:pPr>
      <w:r w:rsidRPr="00FF2C45">
        <w:rPr>
          <w:rFonts w:cstheme="minorHAnsi"/>
        </w:rPr>
        <w:t>ODPADY</w:t>
      </w:r>
    </w:p>
    <w:p w14:paraId="19EEF01C" w14:textId="6E02396F" w:rsidR="007D47E8" w:rsidRDefault="00C40C48" w:rsidP="00E703DC">
      <w:pPr>
        <w:jc w:val="both"/>
        <w:rPr>
          <w:rFonts w:cstheme="minorHAnsi"/>
        </w:rPr>
      </w:pPr>
      <w:r w:rsidRPr="00FF2C45">
        <w:rPr>
          <w:rFonts w:cstheme="minorHAnsi"/>
        </w:rPr>
        <w:t>Od 01 lipca 2013 r. w związku z nowelizacją ustawy o utrzymaniu czystości i porządku w gminach, gminy otrzymały nowe zadania dotyczące organizowania odbioru i składowania odpadów komunalnych. Wówczas systemem odbioru odpadów objęto nieruchomości zamieszkałe oraz nieruchomości niezamieszkałe (placówki oświatowe, miejsca prowadzenia działalności gospodarczej itp.). Od lipca 2016 r. systemem odbioru objęte są także wszystkie nieruchomości wykorzystywane w celach rekreacyjnych (domku letniskowe). Wszyscy właściciele nieruchomości są zobowiązani do złożenia do Urzędu Gminy deklaracji o wysokości opłaty za gospodarowanie odpadami oraz do ponoszenia opłat na rzecz Gminy.</w:t>
      </w:r>
    </w:p>
    <w:p w14:paraId="7E15A6BA" w14:textId="5C376C4C" w:rsidR="008775F2" w:rsidRDefault="002D1ECF" w:rsidP="00E703DC">
      <w:pPr>
        <w:jc w:val="both"/>
        <w:rPr>
          <w:rFonts w:cstheme="minorHAnsi"/>
        </w:rPr>
      </w:pPr>
      <w:r>
        <w:rPr>
          <w:rFonts w:cstheme="minorHAnsi"/>
        </w:rPr>
        <w:t>W zakresie gospodarki odpadami podjęto jedną uchwałę</w:t>
      </w:r>
      <w:r w:rsidR="00A52B4D">
        <w:rPr>
          <w:rFonts w:cstheme="minorHAnsi"/>
        </w:rPr>
        <w:t xml:space="preserve"> w sprawie zmiany stawki tj. uchwała nr</w:t>
      </w:r>
      <w:r w:rsidR="0054237A" w:rsidRPr="0054237A">
        <w:rPr>
          <w:rFonts w:cstheme="minorHAnsi"/>
        </w:rPr>
        <w:t xml:space="preserve"> </w:t>
      </w:r>
      <w:r w:rsidR="00A52B4D">
        <w:rPr>
          <w:rFonts w:cstheme="minorHAnsi"/>
        </w:rPr>
        <w:t>XII.54.2024</w:t>
      </w:r>
      <w:r w:rsidR="0054237A">
        <w:rPr>
          <w:rFonts w:cstheme="minorHAnsi"/>
        </w:rPr>
        <w:t xml:space="preserve"> </w:t>
      </w:r>
      <w:r w:rsidR="0054237A" w:rsidRPr="0054237A">
        <w:rPr>
          <w:rFonts w:cstheme="minorHAnsi"/>
        </w:rPr>
        <w:t>Rady Gminy w Ślemieniu</w:t>
      </w:r>
      <w:r w:rsidR="0054237A">
        <w:rPr>
          <w:rFonts w:cstheme="minorHAnsi"/>
        </w:rPr>
        <w:t xml:space="preserve"> </w:t>
      </w:r>
      <w:r w:rsidR="0054237A" w:rsidRPr="0054237A">
        <w:rPr>
          <w:rFonts w:cstheme="minorHAnsi"/>
        </w:rPr>
        <w:t xml:space="preserve">z dnia </w:t>
      </w:r>
      <w:r w:rsidR="00A52B4D">
        <w:rPr>
          <w:rFonts w:cstheme="minorHAnsi"/>
        </w:rPr>
        <w:t xml:space="preserve">03 grudnia 2023 </w:t>
      </w:r>
      <w:r w:rsidR="0054237A" w:rsidRPr="0054237A">
        <w:rPr>
          <w:rFonts w:cstheme="minorHAnsi"/>
        </w:rPr>
        <w:t>r.</w:t>
      </w:r>
      <w:r w:rsidR="008775F2">
        <w:rPr>
          <w:rFonts w:cstheme="minorHAnsi"/>
        </w:rPr>
        <w:t>,</w:t>
      </w:r>
      <w:r w:rsidR="0054237A">
        <w:rPr>
          <w:rFonts w:cstheme="minorHAnsi"/>
        </w:rPr>
        <w:t xml:space="preserve"> </w:t>
      </w:r>
      <w:r w:rsidR="008775F2">
        <w:rPr>
          <w:rFonts w:cstheme="minorHAnsi"/>
        </w:rPr>
        <w:t>która określa</w:t>
      </w:r>
      <w:r w:rsidR="0054237A">
        <w:rPr>
          <w:rFonts w:cstheme="minorHAnsi"/>
        </w:rPr>
        <w:t xml:space="preserve"> nową stawkę ryczałtu dla właścicieli domków letniskowych – 2</w:t>
      </w:r>
      <w:r w:rsidR="008775F2">
        <w:rPr>
          <w:rFonts w:cstheme="minorHAnsi"/>
        </w:rPr>
        <w:t>67,</w:t>
      </w:r>
      <w:r w:rsidR="0054237A">
        <w:rPr>
          <w:rFonts w:cstheme="minorHAnsi"/>
        </w:rPr>
        <w:t>00 zł. Nowa stawka opłaty zaczęła obowiązywać od 01 stycznia 202</w:t>
      </w:r>
      <w:r w:rsidR="008775F2">
        <w:rPr>
          <w:rFonts w:cstheme="minorHAnsi"/>
        </w:rPr>
        <w:t>5</w:t>
      </w:r>
      <w:r w:rsidR="0054237A">
        <w:rPr>
          <w:rFonts w:cstheme="minorHAnsi"/>
        </w:rPr>
        <w:t xml:space="preserve"> r. Pozostawiono na niezmienionym poziomie stawki opłat dla mieszkańców (32 zł miesięcznie) oraz dla właścicieli nieruchomości niezamieszkałych</w:t>
      </w:r>
      <w:r w:rsidR="00C96C5A">
        <w:rPr>
          <w:rFonts w:cstheme="minorHAnsi"/>
        </w:rPr>
        <w:t>. Nie zmieniono również wysokości ulgi za kompostownik (1 zł miesięcznie za osobę)</w:t>
      </w:r>
      <w:r w:rsidR="008775F2">
        <w:rPr>
          <w:rFonts w:cstheme="minorHAnsi"/>
        </w:rPr>
        <w:t xml:space="preserve">. Dodatkowo </w:t>
      </w:r>
      <w:r w:rsidR="003A1F02">
        <w:rPr>
          <w:rFonts w:cstheme="minorHAnsi"/>
        </w:rPr>
        <w:t xml:space="preserve">podjęto </w:t>
      </w:r>
      <w:r w:rsidR="003A1F02" w:rsidRPr="003A1F02">
        <w:rPr>
          <w:rFonts w:cstheme="minorHAnsi"/>
        </w:rPr>
        <w:t xml:space="preserve">uchwałę VI.17.2024 RADY GMINY ŚLEMIEŃ z dnia 17 lipca 2024 r. w sprawie uchylenia uchwały nr XXXI.156.2012 Rady Gminy </w:t>
      </w:r>
      <w:r w:rsidR="003A1F02">
        <w:rPr>
          <w:rFonts w:cstheme="minorHAnsi"/>
        </w:rPr>
        <w:t xml:space="preserve">          </w:t>
      </w:r>
      <w:r w:rsidR="003A1F02">
        <w:rPr>
          <w:rFonts w:cstheme="minorHAnsi"/>
        </w:rPr>
        <w:br/>
      </w:r>
      <w:r w:rsidR="003A1F02" w:rsidRPr="003A1F02">
        <w:rPr>
          <w:rFonts w:cstheme="minorHAnsi"/>
        </w:rPr>
        <w:t>w Ślemieniu z dnia 20 grudnia 2012 r. w sprawie odbierania odpadów komunalnych od właścicieli nieruchomości, na których nie zamieszkują mieszkańcy, a powstają odpady komunalne</w:t>
      </w:r>
      <w:r w:rsidR="003A1F02">
        <w:rPr>
          <w:rFonts w:cstheme="minorHAnsi"/>
        </w:rPr>
        <w:t>. Na podstawie tej uchwały wszystkie nieruchomości niezamieszkałe zostały wyłączone z gminnego systemu gospodarki odpadami</w:t>
      </w:r>
      <w:r w:rsidR="00F01615">
        <w:rPr>
          <w:rFonts w:cstheme="minorHAnsi"/>
        </w:rPr>
        <w:t>, a ich właściciele od 01 stycznia 2025 r. są obowiązani do zawierania indywidualnych umów na odbieranie odpadów komunalnych</w:t>
      </w:r>
    </w:p>
    <w:p w14:paraId="360EB845" w14:textId="3AFB8075" w:rsidR="002333B3" w:rsidRPr="00FF2C45" w:rsidRDefault="002333B3" w:rsidP="00333A44">
      <w:pPr>
        <w:spacing w:after="0"/>
        <w:jc w:val="both"/>
        <w:rPr>
          <w:rFonts w:cstheme="minorHAnsi"/>
        </w:rPr>
      </w:pPr>
      <w:r w:rsidRPr="00FF2C45">
        <w:rPr>
          <w:rFonts w:cstheme="minorHAnsi"/>
        </w:rPr>
        <w:t>Zbiorcze zestawienie danych związanych z gospodarką odpadami wg stanu na 31.12.20</w:t>
      </w:r>
      <w:r w:rsidR="0055546D">
        <w:rPr>
          <w:rFonts w:cstheme="minorHAnsi"/>
        </w:rPr>
        <w:t>24</w:t>
      </w:r>
      <w:r w:rsidRPr="00FF2C45">
        <w:rPr>
          <w:rFonts w:cstheme="minorHAnsi"/>
        </w:rPr>
        <w:t xml:space="preserve"> r.</w:t>
      </w:r>
    </w:p>
    <w:p w14:paraId="3671B344" w14:textId="4A20CBD9" w:rsidR="002333B3" w:rsidRPr="00FF2C45" w:rsidRDefault="00740BC4" w:rsidP="00333A44">
      <w:pPr>
        <w:spacing w:after="0"/>
        <w:jc w:val="both"/>
        <w:rPr>
          <w:rFonts w:cstheme="minorHAnsi"/>
        </w:rPr>
      </w:pPr>
      <w:r w:rsidRPr="00FF2C45">
        <w:rPr>
          <w:rFonts w:cstheme="minorHAnsi"/>
        </w:rPr>
        <w:t xml:space="preserve">Systemem gospodarki odpadami objętych było </w:t>
      </w:r>
      <w:r w:rsidR="00C96C5A">
        <w:rPr>
          <w:rFonts w:cstheme="minorHAnsi"/>
        </w:rPr>
        <w:t>1404</w:t>
      </w:r>
      <w:r w:rsidRPr="00FF2C45">
        <w:rPr>
          <w:rFonts w:cstheme="minorHAnsi"/>
        </w:rPr>
        <w:t xml:space="preserve"> nieruchomości, w tym:</w:t>
      </w:r>
    </w:p>
    <w:p w14:paraId="04DDFF55" w14:textId="6F7AFC3F" w:rsidR="00740BC4" w:rsidRPr="00FF2C45" w:rsidRDefault="00740BC4" w:rsidP="00333A44">
      <w:pPr>
        <w:spacing w:after="0"/>
        <w:jc w:val="both"/>
        <w:rPr>
          <w:rFonts w:cstheme="minorHAnsi"/>
        </w:rPr>
      </w:pPr>
      <w:r w:rsidRPr="00FF2C45">
        <w:rPr>
          <w:rFonts w:cstheme="minorHAnsi"/>
        </w:rPr>
        <w:t xml:space="preserve">- zamieszkałe </w:t>
      </w:r>
      <w:r w:rsidR="00DE17BD" w:rsidRPr="00FF2C45">
        <w:rPr>
          <w:rFonts w:cstheme="minorHAnsi"/>
        </w:rPr>
        <w:t>10</w:t>
      </w:r>
      <w:r w:rsidR="00C96C5A">
        <w:rPr>
          <w:rFonts w:cstheme="minorHAnsi"/>
        </w:rPr>
        <w:t>6</w:t>
      </w:r>
      <w:r w:rsidR="00AE515E">
        <w:rPr>
          <w:rFonts w:cstheme="minorHAnsi"/>
        </w:rPr>
        <w:t>7</w:t>
      </w:r>
      <w:r w:rsidR="00A756E1" w:rsidRPr="00FF2C45">
        <w:rPr>
          <w:rFonts w:cstheme="minorHAnsi"/>
        </w:rPr>
        <w:t>,</w:t>
      </w:r>
    </w:p>
    <w:p w14:paraId="595F1E30" w14:textId="4DD4CB66" w:rsidR="00740BC4" w:rsidRPr="00FF2C45" w:rsidRDefault="00740BC4" w:rsidP="00333A44">
      <w:pPr>
        <w:spacing w:after="0"/>
        <w:jc w:val="both"/>
        <w:rPr>
          <w:rFonts w:cstheme="minorHAnsi"/>
        </w:rPr>
      </w:pPr>
      <w:r w:rsidRPr="00FF2C45">
        <w:rPr>
          <w:rFonts w:cstheme="minorHAnsi"/>
        </w:rPr>
        <w:t xml:space="preserve">- letniskowe </w:t>
      </w:r>
      <w:r w:rsidR="00AE515E">
        <w:rPr>
          <w:rFonts w:cstheme="minorHAnsi"/>
        </w:rPr>
        <w:t>319</w:t>
      </w:r>
      <w:r w:rsidR="00A756E1" w:rsidRPr="00FF2C45">
        <w:rPr>
          <w:rFonts w:cstheme="minorHAnsi"/>
        </w:rPr>
        <w:t>.</w:t>
      </w:r>
    </w:p>
    <w:p w14:paraId="63871B71" w14:textId="2040883A" w:rsidR="00DE17BD" w:rsidRPr="00FF2C45" w:rsidRDefault="00740BC4" w:rsidP="00333A44">
      <w:pPr>
        <w:spacing w:after="0"/>
        <w:jc w:val="both"/>
        <w:rPr>
          <w:rFonts w:cstheme="minorHAnsi"/>
        </w:rPr>
      </w:pPr>
      <w:r w:rsidRPr="00FF2C45">
        <w:rPr>
          <w:rFonts w:cstheme="minorHAnsi"/>
        </w:rPr>
        <w:t>Zadeklarowano 31</w:t>
      </w:r>
      <w:r w:rsidR="00AE515E">
        <w:rPr>
          <w:rFonts w:cstheme="minorHAnsi"/>
        </w:rPr>
        <w:t>42</w:t>
      </w:r>
      <w:r w:rsidRPr="00FF2C45">
        <w:rPr>
          <w:rFonts w:cstheme="minorHAnsi"/>
        </w:rPr>
        <w:t xml:space="preserve"> osób. </w:t>
      </w:r>
      <w:r w:rsidRPr="007945B1">
        <w:rPr>
          <w:rFonts w:cstheme="minorHAnsi"/>
        </w:rPr>
        <w:t xml:space="preserve">Jest to </w:t>
      </w:r>
      <w:r w:rsidR="00C96C5A">
        <w:rPr>
          <w:rFonts w:cstheme="minorHAnsi"/>
        </w:rPr>
        <w:t>91,</w:t>
      </w:r>
      <w:r w:rsidR="0055546D">
        <w:rPr>
          <w:rFonts w:cstheme="minorHAnsi"/>
        </w:rPr>
        <w:t>18</w:t>
      </w:r>
      <w:r w:rsidRPr="007945B1">
        <w:rPr>
          <w:rFonts w:cstheme="minorHAnsi"/>
        </w:rPr>
        <w:t>% spośród wszystkich zameldowanych osób na terenie Gminy (na dzień 31.12.20</w:t>
      </w:r>
      <w:r w:rsidR="007945B1" w:rsidRPr="007945B1">
        <w:rPr>
          <w:rFonts w:cstheme="minorHAnsi"/>
        </w:rPr>
        <w:t>2</w:t>
      </w:r>
      <w:r w:rsidR="00C96C5A">
        <w:rPr>
          <w:rFonts w:cstheme="minorHAnsi"/>
        </w:rPr>
        <w:t>3</w:t>
      </w:r>
      <w:r w:rsidRPr="007945B1">
        <w:rPr>
          <w:rFonts w:cstheme="minorHAnsi"/>
        </w:rPr>
        <w:t xml:space="preserve"> r. zameldowanych było </w:t>
      </w:r>
      <w:r w:rsidR="007945B1" w:rsidRPr="007945B1">
        <w:rPr>
          <w:rFonts w:cstheme="minorHAnsi"/>
        </w:rPr>
        <w:t>3</w:t>
      </w:r>
      <w:r w:rsidR="00C96C5A">
        <w:rPr>
          <w:rFonts w:cstheme="minorHAnsi"/>
        </w:rPr>
        <w:t>4</w:t>
      </w:r>
      <w:r w:rsidR="0055546D">
        <w:rPr>
          <w:rFonts w:cstheme="minorHAnsi"/>
        </w:rPr>
        <w:t>46</w:t>
      </w:r>
      <w:r w:rsidRPr="007945B1">
        <w:rPr>
          <w:rFonts w:cstheme="minorHAnsi"/>
        </w:rPr>
        <w:t xml:space="preserve"> osób).</w:t>
      </w:r>
    </w:p>
    <w:p w14:paraId="570DB0C9" w14:textId="77777777" w:rsidR="006A5F12" w:rsidRDefault="006A5F12" w:rsidP="00E703DC">
      <w:pPr>
        <w:jc w:val="both"/>
        <w:rPr>
          <w:rFonts w:cstheme="minorHAnsi"/>
        </w:rPr>
      </w:pPr>
    </w:p>
    <w:p w14:paraId="1F22A77C" w14:textId="3CB7D4C5" w:rsidR="00A93C47" w:rsidRPr="00FF2C45" w:rsidRDefault="00A93C47" w:rsidP="00E703DC">
      <w:pPr>
        <w:jc w:val="both"/>
        <w:rPr>
          <w:rFonts w:cstheme="minorHAnsi"/>
        </w:rPr>
      </w:pPr>
      <w:r>
        <w:rPr>
          <w:rFonts w:cstheme="minorHAnsi"/>
        </w:rPr>
        <w:t>Wydatki i dochody 202</w:t>
      </w:r>
      <w:r w:rsidR="00FF5B82">
        <w:rPr>
          <w:rFonts w:cstheme="minorHAnsi"/>
        </w:rPr>
        <w:t>4</w:t>
      </w:r>
      <w:r>
        <w:rPr>
          <w:rFonts w:cstheme="minorHAnsi"/>
        </w:rPr>
        <w:t xml:space="preserve"> – odpady komunalne</w:t>
      </w:r>
    </w:p>
    <w:p w14:paraId="286F4931" w14:textId="03EB6FCB" w:rsidR="00A93C47" w:rsidRPr="00FF5B82" w:rsidRDefault="00A93C47" w:rsidP="00FF5B82">
      <w:pPr>
        <w:jc w:val="both"/>
        <w:rPr>
          <w:rFonts w:ascii="Calibri" w:eastAsia="Times New Roman" w:hAnsi="Calibri" w:cs="Calibri"/>
          <w:color w:val="000000"/>
          <w:lang w:eastAsia="pl-PL"/>
        </w:rPr>
      </w:pPr>
      <w:r w:rsidRPr="00A93C47">
        <w:rPr>
          <w:rFonts w:eastAsia="Times New Roman" w:cstheme="minorHAnsi"/>
          <w:lang w:eastAsia="pl-PL"/>
        </w:rPr>
        <w:t xml:space="preserve">W </w:t>
      </w:r>
      <w:r w:rsidR="00FF5B82">
        <w:rPr>
          <w:rFonts w:eastAsia="Times New Roman" w:cstheme="minorHAnsi"/>
          <w:lang w:eastAsia="pl-PL"/>
        </w:rPr>
        <w:t>roku 2024</w:t>
      </w:r>
      <w:r w:rsidRPr="00A93C47">
        <w:rPr>
          <w:rFonts w:eastAsia="Times New Roman" w:cstheme="minorHAnsi"/>
          <w:lang w:eastAsia="pl-PL"/>
        </w:rPr>
        <w:t xml:space="preserve"> dochody z tytułu opłat za gospodarowanie odpadami komunalnymi w </w:t>
      </w:r>
      <w:r w:rsidR="00FF5B82">
        <w:rPr>
          <w:rFonts w:eastAsia="Times New Roman" w:cstheme="minorHAnsi"/>
          <w:lang w:eastAsia="pl-PL"/>
        </w:rPr>
        <w:t>wynosiły</w:t>
      </w:r>
      <w:r w:rsidRPr="00A93C47">
        <w:rPr>
          <w:rFonts w:eastAsia="Times New Roman" w:cstheme="minorHAnsi"/>
          <w:lang w:eastAsia="pl-PL"/>
        </w:rPr>
        <w:t xml:space="preserve"> </w:t>
      </w:r>
      <w:r w:rsidR="00FF5B82" w:rsidRPr="00FF5B82">
        <w:rPr>
          <w:rFonts w:ascii="Calibri" w:eastAsia="Times New Roman" w:hAnsi="Calibri" w:cs="Calibri"/>
          <w:color w:val="000000"/>
          <w:lang w:eastAsia="pl-PL"/>
        </w:rPr>
        <w:t xml:space="preserve">                         1 309 062,66 </w:t>
      </w:r>
      <w:r w:rsidRPr="00A93C47">
        <w:rPr>
          <w:rFonts w:eastAsia="Times New Roman" w:cstheme="minorHAnsi"/>
          <w:lang w:eastAsia="pl-PL"/>
        </w:rPr>
        <w:t xml:space="preserve">zł, bilansując nimi wydatki związane z funkcjonowaniem systemu gospodarowania odpadami komunalnymi. </w:t>
      </w:r>
    </w:p>
    <w:p w14:paraId="50579FDC" w14:textId="4B6AC1FC" w:rsidR="00A93C47" w:rsidRPr="00A93C47" w:rsidRDefault="00A93C47" w:rsidP="00A93C47">
      <w:pPr>
        <w:spacing w:after="0" w:line="264" w:lineRule="auto"/>
        <w:jc w:val="both"/>
        <w:rPr>
          <w:rFonts w:eastAsia="Times New Roman" w:cstheme="minorHAnsi"/>
          <w:lang w:eastAsia="pl-PL"/>
        </w:rPr>
      </w:pPr>
      <w:r w:rsidRPr="00A93C47">
        <w:rPr>
          <w:rFonts w:eastAsia="Times New Roman" w:cstheme="minorHAnsi"/>
          <w:lang w:eastAsia="pl-PL"/>
        </w:rPr>
        <w:t xml:space="preserve">W trakcie okresu sprawozdawczego z uwagi na rozliczenie dochodów i wydatków za rok poprzedni wprowadzono przychody z lat poprzednich i zwiększono planowaną kwotę wydatków o kwotę </w:t>
      </w:r>
      <w:r w:rsidR="009E4575">
        <w:rPr>
          <w:rFonts w:eastAsia="Times New Roman" w:cstheme="minorHAnsi"/>
          <w:lang w:eastAsia="pl-PL"/>
        </w:rPr>
        <w:t>97534,67 zł</w:t>
      </w:r>
      <w:r w:rsidRPr="00A93C47">
        <w:rPr>
          <w:rFonts w:eastAsia="Times New Roman" w:cstheme="minorHAnsi"/>
          <w:lang w:eastAsia="pl-PL"/>
        </w:rPr>
        <w:t xml:space="preserve">.  </w:t>
      </w:r>
    </w:p>
    <w:p w14:paraId="3D20AF2A" w14:textId="2568AD52" w:rsidR="00A93C47" w:rsidRPr="00A93C47" w:rsidRDefault="00A93C47" w:rsidP="00A93C47">
      <w:pPr>
        <w:snapToGrid w:val="0"/>
        <w:spacing w:after="0" w:line="264" w:lineRule="auto"/>
        <w:jc w:val="both"/>
        <w:rPr>
          <w:rFonts w:eastAsia="Times New Roman" w:cstheme="minorHAnsi"/>
          <w:lang w:eastAsia="pl-PL"/>
        </w:rPr>
      </w:pPr>
      <w:r w:rsidRPr="00A93C47">
        <w:rPr>
          <w:rFonts w:eastAsia="Times New Roman" w:cstheme="minorHAnsi"/>
          <w:lang w:eastAsia="ar-SA"/>
        </w:rPr>
        <w:t xml:space="preserve">Środki zostały poniesione </w:t>
      </w:r>
      <w:r w:rsidR="00556667">
        <w:rPr>
          <w:rFonts w:eastAsia="Times New Roman" w:cstheme="minorHAnsi"/>
          <w:lang w:eastAsia="ar-SA"/>
        </w:rPr>
        <w:t xml:space="preserve">przede wszystkim </w:t>
      </w:r>
      <w:r w:rsidRPr="00A93C47">
        <w:rPr>
          <w:rFonts w:eastAsia="Times New Roman" w:cstheme="minorHAnsi"/>
          <w:lang w:eastAsia="ar-SA"/>
        </w:rPr>
        <w:t>na:</w:t>
      </w:r>
    </w:p>
    <w:p w14:paraId="31C9019A" w14:textId="3BF57005" w:rsidR="00A93C47" w:rsidRDefault="00A93C47" w:rsidP="00A93C47">
      <w:pPr>
        <w:shd w:val="clear" w:color="auto" w:fill="FFFFFF"/>
        <w:spacing w:after="0" w:line="264" w:lineRule="auto"/>
        <w:jc w:val="both"/>
        <w:rPr>
          <w:rFonts w:eastAsia="Times New Roman" w:cstheme="minorHAnsi"/>
          <w:color w:val="000000"/>
          <w:lang w:eastAsia="pl-PL"/>
        </w:rPr>
      </w:pPr>
      <w:r>
        <w:rPr>
          <w:rFonts w:eastAsia="Times New Roman" w:cstheme="minorHAnsi"/>
          <w:lang w:eastAsia="pl-PL"/>
        </w:rPr>
        <w:t xml:space="preserve">- </w:t>
      </w:r>
      <w:r w:rsidRPr="00A93C47">
        <w:rPr>
          <w:rFonts w:eastAsia="Times New Roman" w:cstheme="minorHAnsi"/>
          <w:color w:val="000000"/>
          <w:lang w:eastAsia="pl-PL"/>
        </w:rPr>
        <w:t xml:space="preserve">odbiór, transport, zbieranie, odzysk i </w:t>
      </w:r>
      <w:r>
        <w:rPr>
          <w:rFonts w:eastAsia="Times New Roman" w:cstheme="minorHAnsi"/>
          <w:color w:val="000000"/>
          <w:lang w:eastAsia="pl-PL"/>
        </w:rPr>
        <w:t>zagospodarowanie</w:t>
      </w:r>
      <w:r w:rsidRPr="00A93C47">
        <w:rPr>
          <w:rFonts w:eastAsia="Times New Roman" w:cstheme="minorHAnsi"/>
          <w:color w:val="000000"/>
          <w:lang w:eastAsia="pl-PL"/>
        </w:rPr>
        <w:t> </w:t>
      </w:r>
      <w:r w:rsidR="006B43F0">
        <w:rPr>
          <w:rFonts w:eastAsia="Times New Roman" w:cstheme="minorHAnsi"/>
          <w:color w:val="000000"/>
          <w:lang w:eastAsia="pl-PL"/>
        </w:rPr>
        <w:t>–</w:t>
      </w:r>
      <w:r w:rsidRPr="00A93C47">
        <w:rPr>
          <w:rFonts w:eastAsia="Times New Roman" w:cstheme="minorHAnsi"/>
          <w:color w:val="000000"/>
          <w:lang w:eastAsia="pl-PL"/>
        </w:rPr>
        <w:t xml:space="preserve"> </w:t>
      </w:r>
      <w:r w:rsidR="006B43F0">
        <w:rPr>
          <w:rFonts w:eastAsia="Times New Roman" w:cstheme="minorHAnsi"/>
          <w:color w:val="000000"/>
          <w:lang w:eastAsia="pl-PL"/>
        </w:rPr>
        <w:t>1 203 707,11</w:t>
      </w:r>
      <w:r w:rsidRPr="00A93C47">
        <w:rPr>
          <w:rFonts w:eastAsia="Times New Roman" w:cstheme="minorHAnsi"/>
          <w:color w:val="000000"/>
          <w:lang w:eastAsia="pl-PL"/>
        </w:rPr>
        <w:t xml:space="preserve"> zł,</w:t>
      </w:r>
    </w:p>
    <w:p w14:paraId="76B90746" w14:textId="0FFB2C98" w:rsidR="00A93C47" w:rsidRPr="00A93C47" w:rsidRDefault="00A93C47" w:rsidP="00A93C47">
      <w:pPr>
        <w:shd w:val="clear" w:color="auto" w:fill="FFFFFF"/>
        <w:spacing w:after="0" w:line="264" w:lineRule="auto"/>
        <w:jc w:val="both"/>
        <w:rPr>
          <w:rFonts w:eastAsia="Times New Roman" w:cstheme="minorHAnsi"/>
          <w:lang w:eastAsia="pl-PL"/>
        </w:rPr>
      </w:pPr>
      <w:r>
        <w:rPr>
          <w:rFonts w:eastAsia="Times New Roman" w:cstheme="minorHAnsi"/>
          <w:lang w:eastAsia="pl-PL"/>
        </w:rPr>
        <w:t>-</w:t>
      </w:r>
      <w:r w:rsidRPr="00A93C47">
        <w:rPr>
          <w:rFonts w:eastAsia="Times New Roman" w:cstheme="minorHAnsi"/>
          <w:lang w:eastAsia="pl-PL"/>
        </w:rPr>
        <w:t xml:space="preserve"> </w:t>
      </w:r>
      <w:r w:rsidRPr="00A93C47">
        <w:rPr>
          <w:rFonts w:eastAsia="Times New Roman" w:cstheme="minorHAnsi"/>
          <w:color w:val="000000"/>
          <w:lang w:eastAsia="pl-PL"/>
        </w:rPr>
        <w:t xml:space="preserve">tworzenie i utrzymanie punktów selektywnego zbierania odpadów komunalnych – </w:t>
      </w:r>
      <w:r w:rsidR="009E4575">
        <w:rPr>
          <w:rFonts w:eastAsia="Times New Roman" w:cstheme="minorHAnsi"/>
          <w:color w:val="000000"/>
          <w:lang w:eastAsia="pl-PL"/>
        </w:rPr>
        <w:t xml:space="preserve">42 160,13 </w:t>
      </w:r>
      <w:r w:rsidRPr="00A93C47">
        <w:rPr>
          <w:rFonts w:eastAsia="Times New Roman" w:cstheme="minorHAnsi"/>
          <w:color w:val="000000"/>
          <w:lang w:eastAsia="pl-PL"/>
        </w:rPr>
        <w:t>zł,</w:t>
      </w:r>
    </w:p>
    <w:p w14:paraId="3358EF4F" w14:textId="3E564EB8" w:rsidR="00A93C47" w:rsidRPr="005F11AF" w:rsidRDefault="00A93C47" w:rsidP="005F11AF">
      <w:pPr>
        <w:jc w:val="both"/>
        <w:rPr>
          <w:rFonts w:ascii="Calibri" w:eastAsia="Times New Roman" w:hAnsi="Calibri" w:cs="Calibri"/>
          <w:color w:val="000000"/>
          <w:lang w:eastAsia="pl-PL"/>
        </w:rPr>
      </w:pPr>
      <w:r>
        <w:rPr>
          <w:rFonts w:eastAsia="Times New Roman" w:cstheme="minorHAnsi"/>
          <w:lang w:eastAsia="pl-PL"/>
        </w:rPr>
        <w:t xml:space="preserve">- </w:t>
      </w:r>
      <w:r w:rsidRPr="00A93C47">
        <w:rPr>
          <w:rFonts w:eastAsia="Times New Roman" w:cstheme="minorHAnsi"/>
          <w:color w:val="000000"/>
          <w:lang w:eastAsia="pl-PL"/>
        </w:rPr>
        <w:t xml:space="preserve">obsługa administracyjna systemu w kwocie </w:t>
      </w:r>
      <w:proofErr w:type="gramStart"/>
      <w:r>
        <w:rPr>
          <w:rFonts w:eastAsia="Times New Roman" w:cstheme="minorHAnsi"/>
          <w:color w:val="000000"/>
          <w:lang w:eastAsia="pl-PL"/>
        </w:rPr>
        <w:t xml:space="preserve">- </w:t>
      </w:r>
      <w:r w:rsidR="005F11AF" w:rsidRPr="005F11AF">
        <w:rPr>
          <w:rFonts w:ascii="Calibri" w:eastAsia="Times New Roman" w:hAnsi="Calibri" w:cs="Calibri"/>
          <w:color w:val="000000"/>
          <w:lang w:eastAsia="pl-PL"/>
        </w:rPr>
        <w:t xml:space="preserve"> 134</w:t>
      </w:r>
      <w:proofErr w:type="gramEnd"/>
      <w:r w:rsidR="005F11AF" w:rsidRPr="005F11AF">
        <w:rPr>
          <w:rFonts w:ascii="Calibri" w:eastAsia="Times New Roman" w:hAnsi="Calibri" w:cs="Calibri"/>
          <w:color w:val="000000"/>
          <w:lang w:eastAsia="pl-PL"/>
        </w:rPr>
        <w:t xml:space="preserve"> 281,07 </w:t>
      </w:r>
      <w:r w:rsidRPr="00A93C47">
        <w:rPr>
          <w:rFonts w:eastAsia="Times New Roman" w:cstheme="minorHAnsi"/>
          <w:color w:val="000000"/>
          <w:lang w:eastAsia="pl-PL"/>
        </w:rPr>
        <w:t>zł,</w:t>
      </w:r>
    </w:p>
    <w:p w14:paraId="61B30EC4" w14:textId="3AECB493" w:rsidR="00A93C47" w:rsidRDefault="00556667" w:rsidP="00A93C47">
      <w:pPr>
        <w:spacing w:after="0" w:line="264" w:lineRule="auto"/>
        <w:jc w:val="both"/>
        <w:rPr>
          <w:rFonts w:eastAsia="Times New Roman" w:cstheme="minorHAnsi"/>
          <w:lang w:eastAsia="pl-PL"/>
        </w:rPr>
      </w:pPr>
      <w:r>
        <w:rPr>
          <w:rFonts w:eastAsia="Times New Roman" w:cstheme="minorHAnsi"/>
          <w:lang w:eastAsia="pl-PL"/>
        </w:rPr>
        <w:t>System gospodarki odpadami pod katem finansowym nie zbilansował się, z budżetu gminy Ślemień do systemu dopłacono 13000 zł</w:t>
      </w:r>
      <w:r w:rsidR="00A93C47" w:rsidRPr="00A93C47">
        <w:rPr>
          <w:rFonts w:eastAsia="Times New Roman" w:cstheme="minorHAnsi"/>
          <w:lang w:eastAsia="pl-PL"/>
        </w:rPr>
        <w:t>.</w:t>
      </w:r>
    </w:p>
    <w:p w14:paraId="63653794" w14:textId="77777777" w:rsidR="00556667" w:rsidRDefault="00556667" w:rsidP="00A93C47">
      <w:pPr>
        <w:spacing w:after="0" w:line="264" w:lineRule="auto"/>
        <w:jc w:val="both"/>
        <w:rPr>
          <w:rFonts w:eastAsia="Times New Roman" w:cstheme="minorHAnsi"/>
          <w:lang w:eastAsia="pl-PL"/>
        </w:rPr>
      </w:pPr>
    </w:p>
    <w:p w14:paraId="7AE8D8B7" w14:textId="77777777" w:rsidR="00556667" w:rsidRDefault="00556667" w:rsidP="00A93C47">
      <w:pPr>
        <w:spacing w:after="0" w:line="264" w:lineRule="auto"/>
        <w:jc w:val="both"/>
        <w:rPr>
          <w:rFonts w:eastAsia="Times New Roman" w:cstheme="minorHAnsi"/>
          <w:lang w:eastAsia="pl-PL"/>
        </w:rPr>
      </w:pPr>
    </w:p>
    <w:p w14:paraId="75388971" w14:textId="77777777" w:rsidR="00556667" w:rsidRPr="00A93C47" w:rsidRDefault="00556667" w:rsidP="00A93C47">
      <w:pPr>
        <w:spacing w:after="0" w:line="264" w:lineRule="auto"/>
        <w:jc w:val="both"/>
        <w:rPr>
          <w:rFonts w:eastAsia="Times New Roman" w:cstheme="minorHAnsi"/>
          <w:lang w:eastAsia="pl-PL"/>
        </w:rPr>
      </w:pPr>
    </w:p>
    <w:p w14:paraId="6B2A88F4" w14:textId="77777777" w:rsidR="00333A44" w:rsidRPr="00333A44" w:rsidRDefault="00333A44" w:rsidP="00333A44">
      <w:pPr>
        <w:spacing w:after="0"/>
        <w:jc w:val="both"/>
        <w:rPr>
          <w:rFonts w:eastAsia="Arial" w:cstheme="minorHAnsi"/>
        </w:rPr>
      </w:pPr>
    </w:p>
    <w:p w14:paraId="7D689703" w14:textId="22B2C36B" w:rsidR="00333A44" w:rsidRDefault="00333A44" w:rsidP="00453278">
      <w:pPr>
        <w:jc w:val="both"/>
        <w:rPr>
          <w:rFonts w:eastAsia="Arial" w:cstheme="minorHAnsi"/>
        </w:rPr>
      </w:pPr>
      <w:r w:rsidRPr="00333A44">
        <w:rPr>
          <w:rFonts w:eastAsia="Arial" w:cstheme="minorHAnsi"/>
        </w:rPr>
        <w:t>Masa odpadów</w:t>
      </w:r>
      <w:r w:rsidR="00A93C47">
        <w:rPr>
          <w:rFonts w:eastAsia="Arial" w:cstheme="minorHAnsi"/>
        </w:rPr>
        <w:t xml:space="preserve"> 202</w:t>
      </w:r>
      <w:r w:rsidR="00101018">
        <w:rPr>
          <w:rFonts w:eastAsia="Arial" w:cstheme="minorHAnsi"/>
        </w:rPr>
        <w:t>4</w:t>
      </w:r>
      <w:r w:rsidR="00A93C47">
        <w:rPr>
          <w:rFonts w:eastAsia="Arial" w:cstheme="minorHAnsi"/>
        </w:rPr>
        <w:t xml:space="preserve"> r.</w:t>
      </w:r>
      <w:r w:rsidRPr="00333A44">
        <w:rPr>
          <w:rFonts w:eastAsia="Arial" w:cstheme="minorHAnsi"/>
        </w:rPr>
        <w:t>:</w:t>
      </w:r>
    </w:p>
    <w:p w14:paraId="198246FB" w14:textId="599878BC" w:rsidR="009779A4" w:rsidRDefault="00101018" w:rsidP="00B009D3">
      <w:pPr>
        <w:spacing w:after="0"/>
        <w:ind w:firstLine="709"/>
        <w:jc w:val="both"/>
        <w:rPr>
          <w:rFonts w:cs="Calibri"/>
          <w:bCs/>
        </w:rPr>
      </w:pPr>
      <w:proofErr w:type="gramStart"/>
      <w:r>
        <w:rPr>
          <w:rFonts w:cs="Calibri"/>
          <w:bCs/>
        </w:rPr>
        <w:t xml:space="preserve">Dane </w:t>
      </w:r>
      <w:r w:rsidR="00C879D2" w:rsidRPr="009366DF">
        <w:rPr>
          <w:rFonts w:cs="Calibri"/>
          <w:bCs/>
        </w:rPr>
        <w:t xml:space="preserve"> na</w:t>
      </w:r>
      <w:proofErr w:type="gramEnd"/>
      <w:r w:rsidR="00C879D2" w:rsidRPr="009366DF">
        <w:rPr>
          <w:rFonts w:cs="Calibri"/>
          <w:bCs/>
        </w:rPr>
        <w:t xml:space="preserve"> podstawie </w:t>
      </w:r>
      <w:r>
        <w:rPr>
          <w:rFonts w:cs="Calibri"/>
          <w:bCs/>
        </w:rPr>
        <w:t>informacji</w:t>
      </w:r>
      <w:r w:rsidR="00C879D2" w:rsidRPr="009366DF">
        <w:rPr>
          <w:rFonts w:cs="Calibri"/>
          <w:bCs/>
        </w:rPr>
        <w:t xml:space="preserve"> zawartych w sprawozdaniach oraz zestawieniach przedsiębiorcy odbierającego odpady komunalne z wszystkich rodzajów nieruchomości z terenu Gminy Ślemień</w:t>
      </w:r>
      <w:r>
        <w:rPr>
          <w:rFonts w:cs="Calibri"/>
          <w:bCs/>
        </w:rPr>
        <w:t>. Przewidywana ilość odpadó</w:t>
      </w:r>
      <w:r w:rsidR="00E751AC">
        <w:rPr>
          <w:rFonts w:cs="Calibri"/>
          <w:bCs/>
        </w:rPr>
        <w:t>w</w:t>
      </w:r>
      <w:r>
        <w:rPr>
          <w:rFonts w:cs="Calibri"/>
          <w:bCs/>
        </w:rPr>
        <w:t xml:space="preserve"> w</w:t>
      </w:r>
      <w:r w:rsidR="00E751AC">
        <w:rPr>
          <w:rFonts w:cs="Calibri"/>
          <w:bCs/>
        </w:rPr>
        <w:t xml:space="preserve"> </w:t>
      </w:r>
      <w:r>
        <w:rPr>
          <w:rFonts w:cs="Calibri"/>
          <w:bCs/>
        </w:rPr>
        <w:t>202</w:t>
      </w:r>
      <w:r w:rsidR="00E751AC">
        <w:rPr>
          <w:rFonts w:cs="Calibri"/>
          <w:bCs/>
        </w:rPr>
        <w:t xml:space="preserve">5 uległa nieznacznemu zmniejszeniu ze względu na wyłączenie </w:t>
      </w:r>
      <w:r w:rsidR="00E751AC">
        <w:rPr>
          <w:rFonts w:cs="Calibri"/>
          <w:bCs/>
        </w:rPr>
        <w:br/>
        <w:t>z systemu nieruchomości niezamieszkałych</w:t>
      </w:r>
    </w:p>
    <w:p w14:paraId="68873E6B" w14:textId="77777777" w:rsidR="00B009D3" w:rsidRDefault="00B009D3" w:rsidP="00B009D3">
      <w:pPr>
        <w:spacing w:after="0"/>
        <w:ind w:firstLine="709"/>
        <w:jc w:val="both"/>
        <w:rPr>
          <w:rFonts w:cs="Calibri"/>
          <w:bCs/>
        </w:rPr>
      </w:pPr>
    </w:p>
    <w:tbl>
      <w:tblPr>
        <w:tblW w:w="7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1701"/>
        <w:gridCol w:w="1657"/>
        <w:gridCol w:w="1603"/>
      </w:tblGrid>
      <w:tr w:rsidR="00B009D3" w:rsidRPr="00C50FDC" w14:paraId="526B08CA" w14:textId="77777777" w:rsidTr="0048568F">
        <w:trPr>
          <w:trHeight w:val="171"/>
          <w:jc w:val="center"/>
        </w:trPr>
        <w:tc>
          <w:tcPr>
            <w:tcW w:w="2902" w:type="dxa"/>
            <w:shd w:val="clear" w:color="auto" w:fill="auto"/>
            <w:vAlign w:val="center"/>
          </w:tcPr>
          <w:p w14:paraId="14954EAF" w14:textId="77777777" w:rsidR="00B009D3" w:rsidRPr="00C50FDC" w:rsidRDefault="00B009D3" w:rsidP="00B009D3">
            <w:pPr>
              <w:spacing w:after="0"/>
              <w:jc w:val="center"/>
              <w:rPr>
                <w:rFonts w:cstheme="minorHAnsi"/>
              </w:rPr>
            </w:pPr>
            <w:r w:rsidRPr="00C50FDC">
              <w:rPr>
                <w:rFonts w:cstheme="minorHAnsi"/>
              </w:rPr>
              <w:t>Rodzaj odebranych odpadów komunalnych</w:t>
            </w:r>
          </w:p>
        </w:tc>
        <w:tc>
          <w:tcPr>
            <w:tcW w:w="1701" w:type="dxa"/>
            <w:vAlign w:val="center"/>
          </w:tcPr>
          <w:p w14:paraId="3EF856FB" w14:textId="01D7FA18" w:rsidR="00B009D3" w:rsidRPr="00C50FDC" w:rsidRDefault="00B009D3" w:rsidP="00B009D3">
            <w:pPr>
              <w:spacing w:after="0"/>
              <w:jc w:val="center"/>
              <w:rPr>
                <w:rFonts w:cstheme="minorHAnsi"/>
              </w:rPr>
            </w:pPr>
            <w:r w:rsidRPr="00C50FDC">
              <w:rPr>
                <w:rFonts w:cstheme="minorHAnsi"/>
              </w:rPr>
              <w:t>Masa odebranych odpadów komunalnych</w:t>
            </w:r>
            <w:r w:rsidRPr="00C50FDC">
              <w:rPr>
                <w:rFonts w:cstheme="minorHAnsi"/>
                <w:vertAlign w:val="superscript"/>
              </w:rPr>
              <w:t xml:space="preserve"> </w:t>
            </w:r>
            <w:r w:rsidRPr="00C50FDC">
              <w:rPr>
                <w:rFonts w:cstheme="minorHAnsi"/>
              </w:rPr>
              <w:t>[Mg] w</w:t>
            </w:r>
            <w:r w:rsidRPr="00C50FDC">
              <w:rPr>
                <w:rFonts w:cstheme="minorHAnsi"/>
                <w:b/>
                <w:bCs/>
              </w:rPr>
              <w:t xml:space="preserve"> 202</w:t>
            </w:r>
            <w:r w:rsidR="00E751AC">
              <w:rPr>
                <w:rFonts w:cstheme="minorHAnsi"/>
                <w:b/>
                <w:bCs/>
              </w:rPr>
              <w:t>3</w:t>
            </w:r>
            <w:r w:rsidRPr="00C50FDC">
              <w:rPr>
                <w:rFonts w:cstheme="minorHAnsi"/>
                <w:b/>
              </w:rPr>
              <w:t xml:space="preserve"> r.</w:t>
            </w:r>
          </w:p>
        </w:tc>
        <w:tc>
          <w:tcPr>
            <w:tcW w:w="1657" w:type="dxa"/>
          </w:tcPr>
          <w:p w14:paraId="582DB8FE" w14:textId="72CC07A9" w:rsidR="00B009D3" w:rsidRPr="00C50FDC" w:rsidRDefault="00B009D3" w:rsidP="00B009D3">
            <w:pPr>
              <w:spacing w:after="0"/>
              <w:jc w:val="center"/>
              <w:rPr>
                <w:rFonts w:cstheme="minorHAnsi"/>
              </w:rPr>
            </w:pPr>
            <w:r w:rsidRPr="00C50FDC">
              <w:rPr>
                <w:rFonts w:cstheme="minorHAnsi"/>
              </w:rPr>
              <w:t>Masa odebranych odpadów komunalnych</w:t>
            </w:r>
            <w:r w:rsidRPr="00C50FDC">
              <w:rPr>
                <w:rFonts w:cstheme="minorHAnsi"/>
                <w:vertAlign w:val="superscript"/>
              </w:rPr>
              <w:t xml:space="preserve"> </w:t>
            </w:r>
            <w:r w:rsidRPr="00C50FDC">
              <w:rPr>
                <w:rFonts w:cstheme="minorHAnsi"/>
              </w:rPr>
              <w:t>[Mg] w</w:t>
            </w:r>
            <w:r w:rsidRPr="00C50FDC">
              <w:rPr>
                <w:rFonts w:cstheme="minorHAnsi"/>
                <w:b/>
                <w:bCs/>
              </w:rPr>
              <w:t xml:space="preserve"> 20</w:t>
            </w:r>
            <w:r w:rsidR="00393A18">
              <w:rPr>
                <w:rFonts w:cstheme="minorHAnsi"/>
                <w:b/>
                <w:bCs/>
              </w:rPr>
              <w:t>24</w:t>
            </w:r>
            <w:r w:rsidRPr="00C50FDC">
              <w:rPr>
                <w:rFonts w:cstheme="minorHAnsi"/>
                <w:b/>
              </w:rPr>
              <w:t xml:space="preserve"> r.</w:t>
            </w:r>
          </w:p>
        </w:tc>
        <w:tc>
          <w:tcPr>
            <w:tcW w:w="1603" w:type="dxa"/>
          </w:tcPr>
          <w:p w14:paraId="6D1ED1FF" w14:textId="1C90ED8D" w:rsidR="00B009D3" w:rsidRPr="00C50FDC" w:rsidRDefault="00B009D3" w:rsidP="00B009D3">
            <w:pPr>
              <w:spacing w:after="0"/>
              <w:jc w:val="center"/>
              <w:rPr>
                <w:rFonts w:cstheme="minorHAnsi"/>
              </w:rPr>
            </w:pPr>
            <w:r w:rsidRPr="00C50FDC">
              <w:rPr>
                <w:rFonts w:cstheme="minorHAnsi"/>
              </w:rPr>
              <w:t xml:space="preserve">Przewidywana ilość odpadów w [Mg] w </w:t>
            </w:r>
            <w:r w:rsidRPr="00C50FDC">
              <w:rPr>
                <w:rFonts w:cstheme="minorHAnsi"/>
                <w:b/>
                <w:bCs/>
              </w:rPr>
              <w:t>roku 202</w:t>
            </w:r>
            <w:r w:rsidR="00E751AC">
              <w:rPr>
                <w:rFonts w:cstheme="minorHAnsi"/>
                <w:b/>
                <w:bCs/>
              </w:rPr>
              <w:t>5</w:t>
            </w:r>
          </w:p>
        </w:tc>
      </w:tr>
      <w:tr w:rsidR="00FB1B7F" w:rsidRPr="00C50FDC" w14:paraId="1D9A307E" w14:textId="77777777" w:rsidTr="0048568F">
        <w:trPr>
          <w:trHeight w:val="171"/>
          <w:jc w:val="center"/>
        </w:trPr>
        <w:tc>
          <w:tcPr>
            <w:tcW w:w="2902" w:type="dxa"/>
            <w:shd w:val="clear" w:color="auto" w:fill="auto"/>
            <w:vAlign w:val="center"/>
          </w:tcPr>
          <w:p w14:paraId="6F3D0F9C" w14:textId="77777777" w:rsidR="00FB1B7F" w:rsidRPr="00C50FDC" w:rsidRDefault="00FB1B7F" w:rsidP="00FB1B7F">
            <w:pPr>
              <w:spacing w:after="0"/>
              <w:rPr>
                <w:rFonts w:cstheme="minorHAnsi"/>
              </w:rPr>
            </w:pPr>
            <w:r w:rsidRPr="00C50FDC">
              <w:rPr>
                <w:rFonts w:cstheme="minorHAnsi"/>
              </w:rPr>
              <w:t>Opakowania z tworzyw sztucznych</w:t>
            </w:r>
          </w:p>
        </w:tc>
        <w:tc>
          <w:tcPr>
            <w:tcW w:w="1701" w:type="dxa"/>
            <w:vAlign w:val="center"/>
          </w:tcPr>
          <w:p w14:paraId="148CD8E6" w14:textId="2895282A" w:rsidR="00FB1B7F" w:rsidRPr="00C50FDC" w:rsidRDefault="00FB1B7F" w:rsidP="00FB1B7F">
            <w:pPr>
              <w:spacing w:after="0"/>
              <w:jc w:val="center"/>
              <w:rPr>
                <w:rFonts w:cstheme="minorHAnsi"/>
              </w:rPr>
            </w:pPr>
            <w:r>
              <w:rPr>
                <w:rFonts w:cstheme="minorHAnsi"/>
              </w:rPr>
              <w:t>118,59</w:t>
            </w:r>
          </w:p>
        </w:tc>
        <w:tc>
          <w:tcPr>
            <w:tcW w:w="1657" w:type="dxa"/>
            <w:vAlign w:val="center"/>
          </w:tcPr>
          <w:p w14:paraId="7A69A187" w14:textId="17EC0D44" w:rsidR="00FB1B7F" w:rsidRPr="00C50FDC" w:rsidRDefault="00FB1B7F" w:rsidP="00FB1B7F">
            <w:pPr>
              <w:spacing w:after="0"/>
              <w:jc w:val="center"/>
              <w:rPr>
                <w:rFonts w:cstheme="minorHAnsi"/>
              </w:rPr>
            </w:pPr>
            <w:r>
              <w:rPr>
                <w:rFonts w:cstheme="minorHAnsi"/>
              </w:rPr>
              <w:t>143,22</w:t>
            </w:r>
          </w:p>
        </w:tc>
        <w:tc>
          <w:tcPr>
            <w:tcW w:w="1603" w:type="dxa"/>
            <w:vAlign w:val="center"/>
          </w:tcPr>
          <w:p w14:paraId="4166BE2A" w14:textId="409A1508" w:rsidR="00FB1B7F" w:rsidRPr="00C50FDC" w:rsidRDefault="00FB1B7F" w:rsidP="00FB1B7F">
            <w:pPr>
              <w:spacing w:after="0"/>
              <w:jc w:val="center"/>
              <w:rPr>
                <w:rFonts w:cstheme="minorHAnsi"/>
              </w:rPr>
            </w:pPr>
            <w:r>
              <w:rPr>
                <w:rFonts w:cstheme="minorHAnsi"/>
              </w:rPr>
              <w:t>110,0</w:t>
            </w:r>
          </w:p>
        </w:tc>
      </w:tr>
      <w:tr w:rsidR="00FB1B7F" w:rsidRPr="00C50FDC" w14:paraId="7D7D087C" w14:textId="77777777" w:rsidTr="0048568F">
        <w:trPr>
          <w:trHeight w:val="171"/>
          <w:jc w:val="center"/>
        </w:trPr>
        <w:tc>
          <w:tcPr>
            <w:tcW w:w="2902" w:type="dxa"/>
            <w:shd w:val="clear" w:color="auto" w:fill="auto"/>
            <w:vAlign w:val="center"/>
          </w:tcPr>
          <w:p w14:paraId="3F432671" w14:textId="77777777" w:rsidR="00FB1B7F" w:rsidRPr="00C50FDC" w:rsidRDefault="00FB1B7F" w:rsidP="00FB1B7F">
            <w:pPr>
              <w:spacing w:after="0"/>
              <w:rPr>
                <w:rFonts w:cstheme="minorHAnsi"/>
              </w:rPr>
            </w:pPr>
            <w:r w:rsidRPr="00C50FDC">
              <w:rPr>
                <w:rFonts w:cstheme="minorHAnsi"/>
              </w:rPr>
              <w:t>Opakowania ze szkła</w:t>
            </w:r>
          </w:p>
        </w:tc>
        <w:tc>
          <w:tcPr>
            <w:tcW w:w="1701" w:type="dxa"/>
            <w:vAlign w:val="center"/>
          </w:tcPr>
          <w:p w14:paraId="0E26A0A2" w14:textId="16DD86AB" w:rsidR="00FB1B7F" w:rsidRPr="00C50FDC" w:rsidRDefault="00FB1B7F" w:rsidP="00FB1B7F">
            <w:pPr>
              <w:spacing w:after="0"/>
              <w:jc w:val="center"/>
              <w:rPr>
                <w:rFonts w:cstheme="minorHAnsi"/>
              </w:rPr>
            </w:pPr>
            <w:r>
              <w:rPr>
                <w:rFonts w:cstheme="minorHAnsi"/>
              </w:rPr>
              <w:t>59,48</w:t>
            </w:r>
          </w:p>
        </w:tc>
        <w:tc>
          <w:tcPr>
            <w:tcW w:w="1657" w:type="dxa"/>
            <w:vAlign w:val="center"/>
          </w:tcPr>
          <w:p w14:paraId="7AED29AF" w14:textId="003EE1BE" w:rsidR="00FB1B7F" w:rsidRPr="00C50FDC" w:rsidRDefault="00FB1B7F" w:rsidP="00FB1B7F">
            <w:pPr>
              <w:spacing w:after="0"/>
              <w:jc w:val="center"/>
              <w:rPr>
                <w:rFonts w:cstheme="minorHAnsi"/>
              </w:rPr>
            </w:pPr>
            <w:r>
              <w:rPr>
                <w:rFonts w:cstheme="minorHAnsi"/>
              </w:rPr>
              <w:t>72,6</w:t>
            </w:r>
          </w:p>
        </w:tc>
        <w:tc>
          <w:tcPr>
            <w:tcW w:w="1603" w:type="dxa"/>
            <w:vAlign w:val="center"/>
          </w:tcPr>
          <w:p w14:paraId="77651FAC" w14:textId="28AFDF45" w:rsidR="00FB1B7F" w:rsidRPr="00C50FDC" w:rsidRDefault="00FB1B7F" w:rsidP="00FB1B7F">
            <w:pPr>
              <w:spacing w:after="0"/>
              <w:jc w:val="center"/>
              <w:rPr>
                <w:rFonts w:cstheme="minorHAnsi"/>
              </w:rPr>
            </w:pPr>
            <w:r>
              <w:rPr>
                <w:rFonts w:cstheme="minorHAnsi"/>
              </w:rPr>
              <w:t>75,0</w:t>
            </w:r>
          </w:p>
        </w:tc>
      </w:tr>
      <w:tr w:rsidR="00FB1B7F" w:rsidRPr="00C50FDC" w14:paraId="2669E5D4" w14:textId="77777777" w:rsidTr="0048568F">
        <w:trPr>
          <w:trHeight w:val="171"/>
          <w:jc w:val="center"/>
        </w:trPr>
        <w:tc>
          <w:tcPr>
            <w:tcW w:w="2902" w:type="dxa"/>
            <w:shd w:val="clear" w:color="auto" w:fill="auto"/>
            <w:vAlign w:val="center"/>
          </w:tcPr>
          <w:p w14:paraId="40BB78C1" w14:textId="77777777" w:rsidR="00FB1B7F" w:rsidRPr="00C50FDC" w:rsidRDefault="00FB1B7F" w:rsidP="00FB1B7F">
            <w:pPr>
              <w:spacing w:after="0"/>
              <w:rPr>
                <w:rFonts w:cstheme="minorHAnsi"/>
              </w:rPr>
            </w:pPr>
            <w:r w:rsidRPr="00C50FDC">
              <w:rPr>
                <w:rFonts w:cstheme="minorHAnsi"/>
              </w:rPr>
              <w:t>Opakowania z papieru i tektury</w:t>
            </w:r>
          </w:p>
        </w:tc>
        <w:tc>
          <w:tcPr>
            <w:tcW w:w="1701" w:type="dxa"/>
            <w:vAlign w:val="center"/>
          </w:tcPr>
          <w:p w14:paraId="731459C1" w14:textId="259C7575" w:rsidR="00FB1B7F" w:rsidRPr="00C50FDC" w:rsidRDefault="00FB1B7F" w:rsidP="00FB1B7F">
            <w:pPr>
              <w:spacing w:after="0"/>
              <w:jc w:val="center"/>
              <w:rPr>
                <w:rFonts w:cstheme="minorHAnsi"/>
              </w:rPr>
            </w:pPr>
            <w:r>
              <w:rPr>
                <w:rFonts w:cstheme="minorHAnsi"/>
              </w:rPr>
              <w:t>5,02</w:t>
            </w:r>
          </w:p>
        </w:tc>
        <w:tc>
          <w:tcPr>
            <w:tcW w:w="1657" w:type="dxa"/>
            <w:vAlign w:val="center"/>
          </w:tcPr>
          <w:p w14:paraId="6EC4328D" w14:textId="24C686A1" w:rsidR="00FB1B7F" w:rsidRPr="00C50FDC" w:rsidRDefault="00FB1B7F" w:rsidP="00FB1B7F">
            <w:pPr>
              <w:spacing w:after="0"/>
              <w:jc w:val="center"/>
              <w:rPr>
                <w:rFonts w:cstheme="minorHAnsi"/>
              </w:rPr>
            </w:pPr>
            <w:r>
              <w:rPr>
                <w:rFonts w:cstheme="minorHAnsi"/>
              </w:rPr>
              <w:t>0,66</w:t>
            </w:r>
          </w:p>
        </w:tc>
        <w:tc>
          <w:tcPr>
            <w:tcW w:w="1603" w:type="dxa"/>
            <w:vAlign w:val="center"/>
          </w:tcPr>
          <w:p w14:paraId="77D44BB9" w14:textId="0C3636D2" w:rsidR="00FB1B7F" w:rsidRPr="00C50FDC" w:rsidRDefault="00FB1B7F" w:rsidP="00FB1B7F">
            <w:pPr>
              <w:spacing w:after="0"/>
              <w:jc w:val="center"/>
              <w:rPr>
                <w:rFonts w:cstheme="minorHAnsi"/>
              </w:rPr>
            </w:pPr>
            <w:r>
              <w:rPr>
                <w:rFonts w:cstheme="minorHAnsi"/>
              </w:rPr>
              <w:t>5,0</w:t>
            </w:r>
          </w:p>
        </w:tc>
      </w:tr>
      <w:tr w:rsidR="00FB1B7F" w:rsidRPr="00C50FDC" w14:paraId="23D210C9" w14:textId="77777777" w:rsidTr="0048568F">
        <w:trPr>
          <w:trHeight w:val="171"/>
          <w:jc w:val="center"/>
        </w:trPr>
        <w:tc>
          <w:tcPr>
            <w:tcW w:w="2902" w:type="dxa"/>
            <w:shd w:val="clear" w:color="auto" w:fill="auto"/>
            <w:vAlign w:val="center"/>
          </w:tcPr>
          <w:p w14:paraId="47A2C5F7" w14:textId="77777777" w:rsidR="00FB1B7F" w:rsidRPr="00C50FDC" w:rsidRDefault="00FB1B7F" w:rsidP="00FB1B7F">
            <w:pPr>
              <w:spacing w:after="0"/>
              <w:rPr>
                <w:rFonts w:cstheme="minorHAnsi"/>
              </w:rPr>
            </w:pPr>
            <w:r w:rsidRPr="00C50FDC">
              <w:rPr>
                <w:rFonts w:cstheme="minorHAnsi"/>
              </w:rPr>
              <w:t>Inne odpady nieulęgające biodegradacji</w:t>
            </w:r>
          </w:p>
        </w:tc>
        <w:tc>
          <w:tcPr>
            <w:tcW w:w="1701" w:type="dxa"/>
            <w:vAlign w:val="center"/>
          </w:tcPr>
          <w:p w14:paraId="4A91674D" w14:textId="4B89C86B" w:rsidR="00FB1B7F" w:rsidRPr="00C50FDC" w:rsidRDefault="00FB1B7F" w:rsidP="00FB1B7F">
            <w:pPr>
              <w:spacing w:after="0"/>
              <w:jc w:val="center"/>
              <w:rPr>
                <w:rFonts w:cstheme="minorHAnsi"/>
              </w:rPr>
            </w:pPr>
            <w:r>
              <w:rPr>
                <w:rFonts w:cstheme="minorHAnsi"/>
              </w:rPr>
              <w:t>15,62</w:t>
            </w:r>
          </w:p>
        </w:tc>
        <w:tc>
          <w:tcPr>
            <w:tcW w:w="1657" w:type="dxa"/>
            <w:vAlign w:val="center"/>
          </w:tcPr>
          <w:p w14:paraId="4734D541" w14:textId="293AA44E" w:rsidR="00FB1B7F" w:rsidRPr="00C50FDC" w:rsidRDefault="00FB1B7F" w:rsidP="00FB1B7F">
            <w:pPr>
              <w:spacing w:after="0"/>
              <w:jc w:val="center"/>
              <w:rPr>
                <w:rFonts w:cstheme="minorHAnsi"/>
              </w:rPr>
            </w:pPr>
            <w:r>
              <w:rPr>
                <w:rFonts w:cstheme="minorHAnsi"/>
              </w:rPr>
              <w:t>17,76</w:t>
            </w:r>
          </w:p>
        </w:tc>
        <w:tc>
          <w:tcPr>
            <w:tcW w:w="1603" w:type="dxa"/>
            <w:vAlign w:val="center"/>
          </w:tcPr>
          <w:p w14:paraId="50E6081D" w14:textId="71C39651" w:rsidR="00FB1B7F" w:rsidRPr="00C50FDC" w:rsidRDefault="00FB1B7F" w:rsidP="00FB1B7F">
            <w:pPr>
              <w:spacing w:after="0"/>
              <w:jc w:val="center"/>
              <w:rPr>
                <w:rFonts w:cstheme="minorHAnsi"/>
              </w:rPr>
            </w:pPr>
            <w:r>
              <w:rPr>
                <w:rFonts w:cstheme="minorHAnsi"/>
              </w:rPr>
              <w:t>0</w:t>
            </w:r>
          </w:p>
        </w:tc>
      </w:tr>
      <w:tr w:rsidR="00FB1B7F" w:rsidRPr="00C50FDC" w14:paraId="6C5B6BDA" w14:textId="77777777" w:rsidTr="0048568F">
        <w:trPr>
          <w:trHeight w:val="171"/>
          <w:jc w:val="center"/>
        </w:trPr>
        <w:tc>
          <w:tcPr>
            <w:tcW w:w="2902" w:type="dxa"/>
            <w:shd w:val="clear" w:color="auto" w:fill="auto"/>
            <w:vAlign w:val="center"/>
          </w:tcPr>
          <w:p w14:paraId="4CDAB71A" w14:textId="77777777" w:rsidR="00FB1B7F" w:rsidRPr="00C50FDC" w:rsidRDefault="00FB1B7F" w:rsidP="00FB1B7F">
            <w:pPr>
              <w:spacing w:after="0"/>
              <w:rPr>
                <w:rFonts w:cstheme="minorHAnsi"/>
              </w:rPr>
            </w:pPr>
            <w:r w:rsidRPr="00C50FDC">
              <w:rPr>
                <w:rFonts w:cstheme="minorHAnsi"/>
              </w:rPr>
              <w:t>Niesegregowane (zmieszane) odpady komunalne</w:t>
            </w:r>
          </w:p>
        </w:tc>
        <w:tc>
          <w:tcPr>
            <w:tcW w:w="1701" w:type="dxa"/>
            <w:vAlign w:val="center"/>
          </w:tcPr>
          <w:p w14:paraId="7DAF303E" w14:textId="7E923394" w:rsidR="00FB1B7F" w:rsidRPr="00C50FDC" w:rsidRDefault="00FB1B7F" w:rsidP="00FB1B7F">
            <w:pPr>
              <w:spacing w:after="0"/>
              <w:jc w:val="center"/>
              <w:rPr>
                <w:rFonts w:cstheme="minorHAnsi"/>
              </w:rPr>
            </w:pPr>
            <w:r>
              <w:rPr>
                <w:rFonts w:cstheme="minorHAnsi"/>
              </w:rPr>
              <w:t>304,5</w:t>
            </w:r>
          </w:p>
        </w:tc>
        <w:tc>
          <w:tcPr>
            <w:tcW w:w="1657" w:type="dxa"/>
            <w:vAlign w:val="center"/>
          </w:tcPr>
          <w:p w14:paraId="44DAA585" w14:textId="19296A7E" w:rsidR="00FB1B7F" w:rsidRPr="00C50FDC" w:rsidRDefault="00FB1B7F" w:rsidP="00FB1B7F">
            <w:pPr>
              <w:spacing w:after="0"/>
              <w:jc w:val="center"/>
              <w:rPr>
                <w:rFonts w:cstheme="minorHAnsi"/>
              </w:rPr>
            </w:pPr>
            <w:r>
              <w:rPr>
                <w:rFonts w:cstheme="minorHAnsi"/>
              </w:rPr>
              <w:t>304,93</w:t>
            </w:r>
          </w:p>
        </w:tc>
        <w:tc>
          <w:tcPr>
            <w:tcW w:w="1603" w:type="dxa"/>
            <w:vAlign w:val="center"/>
          </w:tcPr>
          <w:p w14:paraId="130CC7D8" w14:textId="4F7FBDFA" w:rsidR="00FB1B7F" w:rsidRPr="00C50FDC" w:rsidRDefault="00FB1B7F" w:rsidP="00FB1B7F">
            <w:pPr>
              <w:spacing w:after="0"/>
              <w:jc w:val="center"/>
              <w:rPr>
                <w:rFonts w:cstheme="minorHAnsi"/>
              </w:rPr>
            </w:pPr>
            <w:r>
              <w:rPr>
                <w:rFonts w:cstheme="minorHAnsi"/>
              </w:rPr>
              <w:t>235,0</w:t>
            </w:r>
          </w:p>
        </w:tc>
      </w:tr>
      <w:tr w:rsidR="00FB1B7F" w:rsidRPr="00C50FDC" w14:paraId="51BFF1FC" w14:textId="77777777" w:rsidTr="0048568F">
        <w:trPr>
          <w:trHeight w:val="171"/>
          <w:jc w:val="center"/>
        </w:trPr>
        <w:tc>
          <w:tcPr>
            <w:tcW w:w="2902" w:type="dxa"/>
            <w:shd w:val="clear" w:color="auto" w:fill="auto"/>
            <w:vAlign w:val="center"/>
          </w:tcPr>
          <w:p w14:paraId="0A4587DB" w14:textId="77777777" w:rsidR="00FB1B7F" w:rsidRPr="00C50FDC" w:rsidRDefault="00FB1B7F" w:rsidP="00FB1B7F">
            <w:pPr>
              <w:spacing w:after="0"/>
              <w:rPr>
                <w:rFonts w:cstheme="minorHAnsi"/>
              </w:rPr>
            </w:pPr>
            <w:r w:rsidRPr="00C50FDC">
              <w:rPr>
                <w:rFonts w:cstheme="minorHAnsi"/>
              </w:rPr>
              <w:t>Odpady ulegające biodegradacji</w:t>
            </w:r>
          </w:p>
          <w:p w14:paraId="28798133" w14:textId="77777777" w:rsidR="00FB1B7F" w:rsidRPr="00C50FDC" w:rsidRDefault="00FB1B7F" w:rsidP="00FB1B7F">
            <w:pPr>
              <w:spacing w:after="0"/>
              <w:rPr>
                <w:rFonts w:cstheme="minorHAnsi"/>
              </w:rPr>
            </w:pPr>
            <w:r w:rsidRPr="00C50FDC">
              <w:rPr>
                <w:rFonts w:cstheme="minorHAnsi"/>
              </w:rPr>
              <w:t xml:space="preserve">(od 2022 tylko </w:t>
            </w:r>
            <w:r w:rsidRPr="00C50FDC">
              <w:rPr>
                <w:rFonts w:cstheme="minorHAnsi"/>
                <w:bCs/>
              </w:rPr>
              <w:t>odpady kuchenne ulegające biodegradacji)</w:t>
            </w:r>
          </w:p>
        </w:tc>
        <w:tc>
          <w:tcPr>
            <w:tcW w:w="1701" w:type="dxa"/>
            <w:vAlign w:val="center"/>
          </w:tcPr>
          <w:p w14:paraId="585E548C" w14:textId="0C26EAB5" w:rsidR="00FB1B7F" w:rsidRPr="00C50FDC" w:rsidRDefault="00FB1B7F" w:rsidP="00FB1B7F">
            <w:pPr>
              <w:spacing w:after="0"/>
              <w:jc w:val="center"/>
              <w:rPr>
                <w:rFonts w:cstheme="minorHAnsi"/>
              </w:rPr>
            </w:pPr>
            <w:r>
              <w:rPr>
                <w:rFonts w:cstheme="minorHAnsi"/>
              </w:rPr>
              <w:t>15,08</w:t>
            </w:r>
          </w:p>
        </w:tc>
        <w:tc>
          <w:tcPr>
            <w:tcW w:w="1657" w:type="dxa"/>
            <w:vAlign w:val="center"/>
          </w:tcPr>
          <w:p w14:paraId="35DE6297" w14:textId="58432BCD" w:rsidR="00FB1B7F" w:rsidRPr="00C50FDC" w:rsidRDefault="00FB1B7F" w:rsidP="00FB1B7F">
            <w:pPr>
              <w:spacing w:after="0"/>
              <w:jc w:val="center"/>
              <w:rPr>
                <w:rFonts w:cstheme="minorHAnsi"/>
              </w:rPr>
            </w:pPr>
            <w:r>
              <w:rPr>
                <w:rFonts w:cstheme="minorHAnsi"/>
              </w:rPr>
              <w:t>16,06</w:t>
            </w:r>
          </w:p>
        </w:tc>
        <w:tc>
          <w:tcPr>
            <w:tcW w:w="1603" w:type="dxa"/>
            <w:vAlign w:val="center"/>
          </w:tcPr>
          <w:p w14:paraId="2F790BA1" w14:textId="3388BE64" w:rsidR="00FB1B7F" w:rsidRPr="00C50FDC" w:rsidRDefault="00FB1B7F" w:rsidP="00FB1B7F">
            <w:pPr>
              <w:spacing w:after="0"/>
              <w:jc w:val="center"/>
              <w:rPr>
                <w:rFonts w:cstheme="minorHAnsi"/>
              </w:rPr>
            </w:pPr>
            <w:r>
              <w:rPr>
                <w:rFonts w:cstheme="minorHAnsi"/>
              </w:rPr>
              <w:t>14,0</w:t>
            </w:r>
          </w:p>
        </w:tc>
      </w:tr>
      <w:tr w:rsidR="00FB1B7F" w:rsidRPr="00C50FDC" w14:paraId="1B21DAF1" w14:textId="77777777" w:rsidTr="0048568F">
        <w:trPr>
          <w:trHeight w:val="171"/>
          <w:jc w:val="center"/>
        </w:trPr>
        <w:tc>
          <w:tcPr>
            <w:tcW w:w="2902" w:type="dxa"/>
            <w:shd w:val="clear" w:color="auto" w:fill="auto"/>
            <w:vAlign w:val="center"/>
          </w:tcPr>
          <w:p w14:paraId="4BB329DC" w14:textId="77777777" w:rsidR="00FB1B7F" w:rsidRPr="00C50FDC" w:rsidRDefault="00FB1B7F" w:rsidP="00FB1B7F">
            <w:pPr>
              <w:spacing w:after="0"/>
              <w:rPr>
                <w:rFonts w:cstheme="minorHAnsi"/>
              </w:rPr>
            </w:pPr>
            <w:r w:rsidRPr="00C50FDC">
              <w:rPr>
                <w:rFonts w:cstheme="minorHAnsi"/>
              </w:rPr>
              <w:t>Popioły z palenisk domowych</w:t>
            </w:r>
          </w:p>
        </w:tc>
        <w:tc>
          <w:tcPr>
            <w:tcW w:w="1701" w:type="dxa"/>
            <w:vAlign w:val="center"/>
          </w:tcPr>
          <w:p w14:paraId="3359CA8B" w14:textId="3E4B9D4D" w:rsidR="00FB1B7F" w:rsidRPr="00C50FDC" w:rsidRDefault="00FB1B7F" w:rsidP="00FB1B7F">
            <w:pPr>
              <w:spacing w:after="0"/>
              <w:jc w:val="center"/>
              <w:rPr>
                <w:rFonts w:cstheme="minorHAnsi"/>
              </w:rPr>
            </w:pPr>
            <w:r>
              <w:rPr>
                <w:rFonts w:cstheme="minorHAnsi"/>
              </w:rPr>
              <w:t>269,88</w:t>
            </w:r>
          </w:p>
        </w:tc>
        <w:tc>
          <w:tcPr>
            <w:tcW w:w="1657" w:type="dxa"/>
            <w:vAlign w:val="center"/>
          </w:tcPr>
          <w:p w14:paraId="16BC065F" w14:textId="0C9BF67F" w:rsidR="00FB1B7F" w:rsidRPr="00C50FDC" w:rsidRDefault="00FB1B7F" w:rsidP="00FB1B7F">
            <w:pPr>
              <w:spacing w:after="0"/>
              <w:jc w:val="center"/>
              <w:rPr>
                <w:rFonts w:cstheme="minorHAnsi"/>
              </w:rPr>
            </w:pPr>
            <w:r>
              <w:rPr>
                <w:rFonts w:cstheme="minorHAnsi"/>
              </w:rPr>
              <w:t>214,6</w:t>
            </w:r>
          </w:p>
        </w:tc>
        <w:tc>
          <w:tcPr>
            <w:tcW w:w="1603" w:type="dxa"/>
            <w:vAlign w:val="center"/>
          </w:tcPr>
          <w:p w14:paraId="464D361D" w14:textId="42972F4B" w:rsidR="00FB1B7F" w:rsidRPr="00C50FDC" w:rsidRDefault="00FB1B7F" w:rsidP="00FB1B7F">
            <w:pPr>
              <w:spacing w:after="0"/>
              <w:jc w:val="center"/>
              <w:rPr>
                <w:rFonts w:cstheme="minorHAnsi"/>
              </w:rPr>
            </w:pPr>
            <w:r>
              <w:rPr>
                <w:rFonts w:cstheme="minorHAnsi"/>
              </w:rPr>
              <w:t>265</w:t>
            </w:r>
          </w:p>
        </w:tc>
      </w:tr>
      <w:tr w:rsidR="00FB1B7F" w:rsidRPr="00C50FDC" w14:paraId="0ED00B79" w14:textId="77777777" w:rsidTr="0048568F">
        <w:trPr>
          <w:trHeight w:val="171"/>
          <w:jc w:val="center"/>
        </w:trPr>
        <w:tc>
          <w:tcPr>
            <w:tcW w:w="2902" w:type="dxa"/>
            <w:shd w:val="clear" w:color="auto" w:fill="auto"/>
            <w:vAlign w:val="center"/>
          </w:tcPr>
          <w:p w14:paraId="7CD9124F" w14:textId="77777777" w:rsidR="00FB1B7F" w:rsidRPr="00C50FDC" w:rsidRDefault="00FB1B7F" w:rsidP="00FB1B7F">
            <w:pPr>
              <w:spacing w:after="0"/>
              <w:rPr>
                <w:rFonts w:cstheme="minorHAnsi"/>
              </w:rPr>
            </w:pPr>
            <w:r w:rsidRPr="00C50FDC">
              <w:rPr>
                <w:rFonts w:cstheme="minorHAnsi"/>
              </w:rPr>
              <w:t>Zużyte opony</w:t>
            </w:r>
          </w:p>
        </w:tc>
        <w:tc>
          <w:tcPr>
            <w:tcW w:w="1701" w:type="dxa"/>
            <w:vAlign w:val="center"/>
          </w:tcPr>
          <w:p w14:paraId="2EA05AD5" w14:textId="730981D3" w:rsidR="00FB1B7F" w:rsidRPr="00C50FDC" w:rsidRDefault="00FB1B7F" w:rsidP="00FB1B7F">
            <w:pPr>
              <w:spacing w:after="0"/>
              <w:jc w:val="center"/>
              <w:rPr>
                <w:rFonts w:cstheme="minorHAnsi"/>
              </w:rPr>
            </w:pPr>
            <w:r>
              <w:rPr>
                <w:rFonts w:cstheme="minorHAnsi"/>
              </w:rPr>
              <w:t>11,92</w:t>
            </w:r>
          </w:p>
        </w:tc>
        <w:tc>
          <w:tcPr>
            <w:tcW w:w="1657" w:type="dxa"/>
            <w:vAlign w:val="center"/>
          </w:tcPr>
          <w:p w14:paraId="58C97A37" w14:textId="249B5072" w:rsidR="00FB1B7F" w:rsidRPr="00C50FDC" w:rsidRDefault="00FB1B7F" w:rsidP="00FB1B7F">
            <w:pPr>
              <w:spacing w:after="0"/>
              <w:jc w:val="center"/>
              <w:rPr>
                <w:rFonts w:cstheme="minorHAnsi"/>
              </w:rPr>
            </w:pPr>
            <w:r>
              <w:rPr>
                <w:rFonts w:cstheme="minorHAnsi"/>
              </w:rPr>
              <w:t>13,88</w:t>
            </w:r>
          </w:p>
        </w:tc>
        <w:tc>
          <w:tcPr>
            <w:tcW w:w="1603" w:type="dxa"/>
            <w:vAlign w:val="center"/>
          </w:tcPr>
          <w:p w14:paraId="44626BD8" w14:textId="7D902070" w:rsidR="00FB1B7F" w:rsidRPr="00C50FDC" w:rsidRDefault="00FB1B7F" w:rsidP="00FB1B7F">
            <w:pPr>
              <w:spacing w:after="0"/>
              <w:jc w:val="center"/>
              <w:rPr>
                <w:rFonts w:cstheme="minorHAnsi"/>
              </w:rPr>
            </w:pPr>
            <w:r>
              <w:rPr>
                <w:rFonts w:cstheme="minorHAnsi"/>
              </w:rPr>
              <w:t>14</w:t>
            </w:r>
          </w:p>
        </w:tc>
      </w:tr>
      <w:tr w:rsidR="00FB1B7F" w:rsidRPr="00C50FDC" w14:paraId="1CBA01AB" w14:textId="77777777" w:rsidTr="0048568F">
        <w:trPr>
          <w:trHeight w:val="171"/>
          <w:jc w:val="center"/>
        </w:trPr>
        <w:tc>
          <w:tcPr>
            <w:tcW w:w="2902" w:type="dxa"/>
            <w:shd w:val="clear" w:color="auto" w:fill="auto"/>
            <w:vAlign w:val="center"/>
          </w:tcPr>
          <w:p w14:paraId="5E54D7CE" w14:textId="77777777" w:rsidR="00FB1B7F" w:rsidRPr="00C50FDC" w:rsidRDefault="00FB1B7F" w:rsidP="00FB1B7F">
            <w:pPr>
              <w:spacing w:after="0"/>
              <w:rPr>
                <w:rFonts w:cstheme="minorHAnsi"/>
              </w:rPr>
            </w:pPr>
            <w:r w:rsidRPr="00C50FDC">
              <w:rPr>
                <w:rFonts w:cstheme="minorHAnsi"/>
              </w:rPr>
              <w:t>Zmieszane odpady z betonu, gruzu ceglanego, odpadowych materiałów ceramicznych i elementów wyposażenia inne niż wymienione w 17 01 06</w:t>
            </w:r>
          </w:p>
        </w:tc>
        <w:tc>
          <w:tcPr>
            <w:tcW w:w="1701" w:type="dxa"/>
            <w:vAlign w:val="center"/>
          </w:tcPr>
          <w:p w14:paraId="77E7D22C" w14:textId="2CEF704F" w:rsidR="00FB1B7F" w:rsidRPr="00C50FDC" w:rsidRDefault="00FB1B7F" w:rsidP="00FB1B7F">
            <w:pPr>
              <w:spacing w:after="0"/>
              <w:jc w:val="center"/>
              <w:rPr>
                <w:rFonts w:cstheme="minorHAnsi"/>
              </w:rPr>
            </w:pPr>
            <w:r>
              <w:rPr>
                <w:rFonts w:cstheme="minorHAnsi"/>
              </w:rPr>
              <w:t>20,32</w:t>
            </w:r>
          </w:p>
        </w:tc>
        <w:tc>
          <w:tcPr>
            <w:tcW w:w="1657" w:type="dxa"/>
            <w:vAlign w:val="center"/>
          </w:tcPr>
          <w:p w14:paraId="1376E81C" w14:textId="715FE863" w:rsidR="00FB1B7F" w:rsidRPr="00C50FDC" w:rsidRDefault="00FB1B7F" w:rsidP="00FB1B7F">
            <w:pPr>
              <w:spacing w:after="0"/>
              <w:jc w:val="center"/>
              <w:rPr>
                <w:rFonts w:cstheme="minorHAnsi"/>
              </w:rPr>
            </w:pPr>
            <w:r>
              <w:rPr>
                <w:rFonts w:cstheme="minorHAnsi"/>
              </w:rPr>
              <w:t>28,08</w:t>
            </w:r>
          </w:p>
        </w:tc>
        <w:tc>
          <w:tcPr>
            <w:tcW w:w="1603" w:type="dxa"/>
            <w:vAlign w:val="center"/>
          </w:tcPr>
          <w:p w14:paraId="53B3330B" w14:textId="3C5D5CE4" w:rsidR="00FB1B7F" w:rsidRPr="00C50FDC" w:rsidRDefault="00FB1B7F" w:rsidP="00FB1B7F">
            <w:pPr>
              <w:spacing w:after="0"/>
              <w:jc w:val="center"/>
              <w:rPr>
                <w:rFonts w:cstheme="minorHAnsi"/>
              </w:rPr>
            </w:pPr>
            <w:r>
              <w:rPr>
                <w:rFonts w:cstheme="minorHAnsi"/>
              </w:rPr>
              <w:t>17</w:t>
            </w:r>
          </w:p>
        </w:tc>
      </w:tr>
      <w:tr w:rsidR="00FB1B7F" w:rsidRPr="00C50FDC" w14:paraId="0A7D6895" w14:textId="77777777" w:rsidTr="0048568F">
        <w:trPr>
          <w:trHeight w:val="171"/>
          <w:jc w:val="center"/>
        </w:trPr>
        <w:tc>
          <w:tcPr>
            <w:tcW w:w="2902" w:type="dxa"/>
            <w:shd w:val="clear" w:color="auto" w:fill="auto"/>
            <w:vAlign w:val="center"/>
          </w:tcPr>
          <w:p w14:paraId="26DEBA57" w14:textId="77777777" w:rsidR="00FB1B7F" w:rsidRPr="00C50FDC" w:rsidRDefault="00FB1B7F" w:rsidP="00FB1B7F">
            <w:pPr>
              <w:spacing w:after="0"/>
              <w:rPr>
                <w:rFonts w:cstheme="minorHAnsi"/>
              </w:rPr>
            </w:pPr>
            <w:r w:rsidRPr="00C50FDC">
              <w:rPr>
                <w:rFonts w:cstheme="minorHAnsi"/>
              </w:rPr>
              <w:t>Odpady wielkogabarytowe</w:t>
            </w:r>
          </w:p>
        </w:tc>
        <w:tc>
          <w:tcPr>
            <w:tcW w:w="1701" w:type="dxa"/>
            <w:vAlign w:val="center"/>
          </w:tcPr>
          <w:p w14:paraId="499F5E71" w14:textId="3B6F79BA" w:rsidR="00FB1B7F" w:rsidRPr="00C50FDC" w:rsidRDefault="00FB1B7F" w:rsidP="00FB1B7F">
            <w:pPr>
              <w:spacing w:after="0"/>
              <w:jc w:val="center"/>
              <w:rPr>
                <w:rFonts w:cstheme="minorHAnsi"/>
              </w:rPr>
            </w:pPr>
            <w:r>
              <w:rPr>
                <w:rFonts w:cstheme="minorHAnsi"/>
              </w:rPr>
              <w:t>29,30</w:t>
            </w:r>
          </w:p>
        </w:tc>
        <w:tc>
          <w:tcPr>
            <w:tcW w:w="1657" w:type="dxa"/>
            <w:vAlign w:val="center"/>
          </w:tcPr>
          <w:p w14:paraId="01F6EFCB" w14:textId="425840B7" w:rsidR="00FB1B7F" w:rsidRPr="00C50FDC" w:rsidRDefault="00FB1B7F" w:rsidP="00FB1B7F">
            <w:pPr>
              <w:spacing w:after="0"/>
              <w:jc w:val="center"/>
              <w:rPr>
                <w:rFonts w:cstheme="minorHAnsi"/>
              </w:rPr>
            </w:pPr>
            <w:r>
              <w:rPr>
                <w:rFonts w:cstheme="minorHAnsi"/>
              </w:rPr>
              <w:t>40,72</w:t>
            </w:r>
          </w:p>
        </w:tc>
        <w:tc>
          <w:tcPr>
            <w:tcW w:w="1603" w:type="dxa"/>
            <w:vAlign w:val="center"/>
          </w:tcPr>
          <w:p w14:paraId="7959F0F2" w14:textId="6865EBD2" w:rsidR="00FB1B7F" w:rsidRPr="00C50FDC" w:rsidRDefault="00FB1B7F" w:rsidP="00FB1B7F">
            <w:pPr>
              <w:spacing w:after="0"/>
              <w:jc w:val="center"/>
              <w:rPr>
                <w:rFonts w:cstheme="minorHAnsi"/>
              </w:rPr>
            </w:pPr>
            <w:r>
              <w:rPr>
                <w:rFonts w:cstheme="minorHAnsi"/>
              </w:rPr>
              <w:t>38</w:t>
            </w:r>
          </w:p>
        </w:tc>
      </w:tr>
      <w:tr w:rsidR="00FB1B7F" w:rsidRPr="00C50FDC" w14:paraId="3C845F21" w14:textId="77777777" w:rsidTr="0048568F">
        <w:trPr>
          <w:trHeight w:val="3198"/>
          <w:jc w:val="center"/>
        </w:trPr>
        <w:tc>
          <w:tcPr>
            <w:tcW w:w="2902" w:type="dxa"/>
            <w:shd w:val="clear" w:color="auto" w:fill="auto"/>
            <w:vAlign w:val="center"/>
          </w:tcPr>
          <w:p w14:paraId="0821DF7E" w14:textId="77777777" w:rsidR="00FB1B7F" w:rsidRPr="00C50FDC" w:rsidRDefault="00FB1B7F" w:rsidP="00FB1B7F">
            <w:pPr>
              <w:spacing w:after="0"/>
              <w:rPr>
                <w:rFonts w:cstheme="minorHAnsi"/>
              </w:rPr>
            </w:pPr>
            <w:r w:rsidRPr="00C50FDC">
              <w:rPr>
                <w:rFonts w:cstheme="minorHAnsi"/>
              </w:rPr>
              <w:t>Zużyte urządzenia elektryczne i elektroniczne inne niż wymienione w 200121, 200123 i 200135</w:t>
            </w:r>
          </w:p>
          <w:p w14:paraId="1687A391" w14:textId="77777777" w:rsidR="00FB1B7F" w:rsidRPr="00C50FDC" w:rsidRDefault="00FB1B7F" w:rsidP="00FB1B7F">
            <w:pPr>
              <w:spacing w:after="0"/>
              <w:rPr>
                <w:rFonts w:cstheme="minorHAnsi"/>
              </w:rPr>
            </w:pPr>
            <w:r w:rsidRPr="00C50FDC">
              <w:rPr>
                <w:rFonts w:cstheme="minorHAnsi"/>
              </w:rPr>
              <w:t>Zużyte urządzenia elektryczne i elektroniczne inne niż wymienione w 200121, 200123 zawierające niebezpieczne składniki</w:t>
            </w:r>
          </w:p>
          <w:p w14:paraId="6C9AAD64" w14:textId="77777777" w:rsidR="00FB1B7F" w:rsidRPr="00C50FDC" w:rsidRDefault="00FB1B7F" w:rsidP="00FB1B7F">
            <w:pPr>
              <w:spacing w:after="0"/>
              <w:rPr>
                <w:rFonts w:cstheme="minorHAnsi"/>
              </w:rPr>
            </w:pPr>
            <w:r w:rsidRPr="00C50FDC">
              <w:rPr>
                <w:rFonts w:cstheme="minorHAnsi"/>
              </w:rPr>
              <w:t>Urządzenia zawierające freony</w:t>
            </w:r>
          </w:p>
        </w:tc>
        <w:tc>
          <w:tcPr>
            <w:tcW w:w="1701" w:type="dxa"/>
            <w:vAlign w:val="center"/>
          </w:tcPr>
          <w:p w14:paraId="04FACC9E" w14:textId="41E287B2" w:rsidR="00FB1B7F" w:rsidRPr="00C50FDC" w:rsidRDefault="00FB1B7F" w:rsidP="00FB1B7F">
            <w:pPr>
              <w:spacing w:after="0"/>
              <w:jc w:val="center"/>
              <w:rPr>
                <w:rFonts w:cstheme="minorHAnsi"/>
              </w:rPr>
            </w:pPr>
            <w:r>
              <w:rPr>
                <w:rFonts w:cstheme="minorHAnsi"/>
              </w:rPr>
              <w:t>2,92</w:t>
            </w:r>
          </w:p>
        </w:tc>
        <w:tc>
          <w:tcPr>
            <w:tcW w:w="1657" w:type="dxa"/>
            <w:vAlign w:val="center"/>
          </w:tcPr>
          <w:p w14:paraId="24888378" w14:textId="1CA1A21F" w:rsidR="00FB1B7F" w:rsidRPr="00C50FDC" w:rsidRDefault="00FB1B7F" w:rsidP="00FB1B7F">
            <w:pPr>
              <w:spacing w:after="0"/>
              <w:jc w:val="center"/>
              <w:rPr>
                <w:rFonts w:cstheme="minorHAnsi"/>
              </w:rPr>
            </w:pPr>
            <w:r>
              <w:rPr>
                <w:rFonts w:cstheme="minorHAnsi"/>
              </w:rPr>
              <w:t>4,42</w:t>
            </w:r>
          </w:p>
        </w:tc>
        <w:tc>
          <w:tcPr>
            <w:tcW w:w="1603" w:type="dxa"/>
            <w:vAlign w:val="center"/>
          </w:tcPr>
          <w:p w14:paraId="242863AB" w14:textId="1F09350B" w:rsidR="00FB1B7F" w:rsidRPr="00C50FDC" w:rsidRDefault="00FB1B7F" w:rsidP="00FB1B7F">
            <w:pPr>
              <w:spacing w:after="0"/>
              <w:jc w:val="center"/>
              <w:rPr>
                <w:rFonts w:cstheme="minorHAnsi"/>
              </w:rPr>
            </w:pPr>
            <w:r>
              <w:rPr>
                <w:rFonts w:cstheme="minorHAnsi"/>
              </w:rPr>
              <w:t>4</w:t>
            </w:r>
          </w:p>
        </w:tc>
      </w:tr>
      <w:tr w:rsidR="00FB1B7F" w:rsidRPr="00C50FDC" w14:paraId="150EFD04" w14:textId="77777777" w:rsidTr="0048568F">
        <w:trPr>
          <w:trHeight w:hRule="exact" w:val="571"/>
          <w:jc w:val="center"/>
        </w:trPr>
        <w:tc>
          <w:tcPr>
            <w:tcW w:w="2902" w:type="dxa"/>
            <w:shd w:val="clear" w:color="auto" w:fill="auto"/>
            <w:vAlign w:val="center"/>
          </w:tcPr>
          <w:p w14:paraId="3D423DD2" w14:textId="77777777" w:rsidR="00FB1B7F" w:rsidRPr="00C50FDC" w:rsidRDefault="00FB1B7F" w:rsidP="00FB1B7F">
            <w:pPr>
              <w:spacing w:after="0"/>
              <w:jc w:val="right"/>
              <w:rPr>
                <w:rFonts w:cstheme="minorHAnsi"/>
                <w:b/>
                <w:bCs/>
              </w:rPr>
            </w:pPr>
            <w:r w:rsidRPr="00C50FDC">
              <w:rPr>
                <w:rFonts w:cstheme="minorHAnsi"/>
                <w:b/>
                <w:bCs/>
              </w:rPr>
              <w:lastRenderedPageBreak/>
              <w:t>Suma</w:t>
            </w:r>
          </w:p>
        </w:tc>
        <w:tc>
          <w:tcPr>
            <w:tcW w:w="1701" w:type="dxa"/>
            <w:vAlign w:val="center"/>
          </w:tcPr>
          <w:p w14:paraId="314A6A0C" w14:textId="091D4592" w:rsidR="00FB1B7F" w:rsidRPr="00C50FDC" w:rsidRDefault="00FB1B7F" w:rsidP="00FB1B7F">
            <w:pPr>
              <w:spacing w:after="0"/>
              <w:jc w:val="center"/>
              <w:rPr>
                <w:rFonts w:cstheme="minorHAnsi"/>
              </w:rPr>
            </w:pPr>
            <w:r>
              <w:rPr>
                <w:rFonts w:cstheme="minorHAnsi"/>
              </w:rPr>
              <w:t>852,63</w:t>
            </w:r>
          </w:p>
        </w:tc>
        <w:tc>
          <w:tcPr>
            <w:tcW w:w="1657" w:type="dxa"/>
            <w:vAlign w:val="center"/>
          </w:tcPr>
          <w:p w14:paraId="0ED31026" w14:textId="7A0F4DF4" w:rsidR="00FB1B7F" w:rsidRPr="00C50FDC" w:rsidRDefault="00FB1B7F" w:rsidP="00FB1B7F">
            <w:pPr>
              <w:spacing w:after="0"/>
              <w:jc w:val="center"/>
              <w:rPr>
                <w:rFonts w:cstheme="minorHAnsi"/>
              </w:rPr>
            </w:pPr>
            <w:r>
              <w:rPr>
                <w:rFonts w:cstheme="minorHAnsi"/>
              </w:rPr>
              <w:t>856,93</w:t>
            </w:r>
          </w:p>
        </w:tc>
        <w:tc>
          <w:tcPr>
            <w:tcW w:w="1603" w:type="dxa"/>
            <w:vAlign w:val="center"/>
          </w:tcPr>
          <w:p w14:paraId="521F47B6" w14:textId="4895E6B8" w:rsidR="00FB1B7F" w:rsidRPr="00C50FDC" w:rsidRDefault="00FB1B7F" w:rsidP="00FB1B7F">
            <w:pPr>
              <w:spacing w:after="0"/>
              <w:jc w:val="center"/>
              <w:rPr>
                <w:rFonts w:cstheme="minorHAnsi"/>
              </w:rPr>
            </w:pPr>
            <w:r>
              <w:rPr>
                <w:rFonts w:cstheme="minorHAnsi"/>
              </w:rPr>
              <w:t>777,00</w:t>
            </w:r>
          </w:p>
        </w:tc>
      </w:tr>
    </w:tbl>
    <w:p w14:paraId="04DC5AD5" w14:textId="77777777" w:rsidR="00B009D3" w:rsidRPr="00C879D2" w:rsidRDefault="00B009D3" w:rsidP="00C879D2">
      <w:pPr>
        <w:ind w:firstLine="709"/>
        <w:jc w:val="both"/>
        <w:rPr>
          <w:rFonts w:cs="Calibri"/>
          <w:bCs/>
        </w:rPr>
      </w:pPr>
    </w:p>
    <w:p w14:paraId="48E3B8D4" w14:textId="608854E9" w:rsidR="00C879D2" w:rsidRPr="009366DF" w:rsidRDefault="00C879D2" w:rsidP="00C879D2">
      <w:pPr>
        <w:ind w:firstLine="709"/>
        <w:jc w:val="both"/>
        <w:rPr>
          <w:rFonts w:cs="Calibri"/>
          <w:b/>
          <w:u w:val="single"/>
        </w:rPr>
      </w:pPr>
      <w:r w:rsidRPr="009366DF">
        <w:rPr>
          <w:rFonts w:cs="Calibri"/>
          <w:b/>
          <w:u w:val="single"/>
        </w:rPr>
        <w:t xml:space="preserve">Szacunkowa masa odpadów, która może zostać odebrana i zagospodarowana w </w:t>
      </w:r>
      <w:r w:rsidR="0010460A">
        <w:rPr>
          <w:rFonts w:cs="Calibri"/>
          <w:b/>
          <w:u w:val="single"/>
        </w:rPr>
        <w:t>202</w:t>
      </w:r>
      <w:r w:rsidR="00FC1159">
        <w:rPr>
          <w:rFonts w:cs="Calibri"/>
          <w:b/>
          <w:u w:val="single"/>
        </w:rPr>
        <w:t>4</w:t>
      </w:r>
      <w:r w:rsidR="0010460A">
        <w:rPr>
          <w:rFonts w:cs="Calibri"/>
          <w:b/>
          <w:u w:val="single"/>
        </w:rPr>
        <w:t xml:space="preserve"> roku</w:t>
      </w:r>
      <w:r w:rsidRPr="009366DF">
        <w:rPr>
          <w:rFonts w:cs="Calibri"/>
          <w:b/>
          <w:u w:val="single"/>
        </w:rPr>
        <w:t xml:space="preserve"> to około </w:t>
      </w:r>
      <w:r w:rsidR="00FC1159">
        <w:rPr>
          <w:rFonts w:cs="Calibri"/>
          <w:b/>
          <w:u w:val="single"/>
        </w:rPr>
        <w:t>7</w:t>
      </w:r>
      <w:r w:rsidR="00200379">
        <w:rPr>
          <w:rFonts w:cs="Calibri"/>
          <w:b/>
          <w:u w:val="single"/>
        </w:rPr>
        <w:t>77</w:t>
      </w:r>
      <w:r w:rsidR="00FC1159">
        <w:rPr>
          <w:rFonts w:cs="Calibri"/>
          <w:b/>
          <w:u w:val="single"/>
        </w:rPr>
        <w:t>,00</w:t>
      </w:r>
      <w:r w:rsidRPr="009366DF">
        <w:rPr>
          <w:rFonts w:cs="Calibri"/>
          <w:b/>
          <w:u w:val="single"/>
        </w:rPr>
        <w:t xml:space="preserve"> Mg.</w:t>
      </w:r>
    </w:p>
    <w:p w14:paraId="3E47C6D3" w14:textId="77777777" w:rsidR="00A46A52" w:rsidRPr="00FF2C45" w:rsidRDefault="00A46A52" w:rsidP="00714782">
      <w:pPr>
        <w:spacing w:after="0"/>
        <w:rPr>
          <w:rFonts w:cstheme="minorHAnsi"/>
        </w:rPr>
      </w:pPr>
    </w:p>
    <w:p w14:paraId="0390F3ED" w14:textId="1909949A" w:rsidR="009779A4" w:rsidRDefault="009779A4" w:rsidP="00714782">
      <w:pPr>
        <w:ind w:firstLine="709"/>
        <w:jc w:val="both"/>
        <w:rPr>
          <w:rFonts w:cstheme="minorHAnsi"/>
        </w:rPr>
      </w:pPr>
      <w:r w:rsidRPr="00FF2C45">
        <w:rPr>
          <w:rFonts w:cstheme="minorHAnsi"/>
        </w:rPr>
        <w:t>Z nieruchomości</w:t>
      </w:r>
      <w:r w:rsidR="007D3C7F" w:rsidRPr="00FF2C45">
        <w:rPr>
          <w:rFonts w:cstheme="minorHAnsi"/>
        </w:rPr>
        <w:t xml:space="preserve"> zlokalizowanych na terenie gminy Ślemień</w:t>
      </w:r>
      <w:r w:rsidR="00D07617" w:rsidRPr="00FF2C45">
        <w:rPr>
          <w:rFonts w:cstheme="minorHAnsi"/>
        </w:rPr>
        <w:t xml:space="preserve"> odpady wielkogabarytowe są </w:t>
      </w:r>
      <w:r w:rsidR="00FC1159">
        <w:rPr>
          <w:rFonts w:cstheme="minorHAnsi"/>
        </w:rPr>
        <w:t>raz</w:t>
      </w:r>
      <w:r w:rsidR="00FF2C45" w:rsidRPr="00FF2C45">
        <w:rPr>
          <w:rFonts w:cstheme="minorHAnsi"/>
        </w:rPr>
        <w:t xml:space="preserve"> w roku</w:t>
      </w:r>
      <w:r w:rsidR="00D07617" w:rsidRPr="00FF2C45">
        <w:rPr>
          <w:rFonts w:cstheme="minorHAnsi"/>
        </w:rPr>
        <w:t xml:space="preserve">, odpady remontowo-budowlane raz w roku, bioodpady </w:t>
      </w:r>
      <w:r w:rsidR="00C879D2">
        <w:rPr>
          <w:rFonts w:cstheme="minorHAnsi"/>
        </w:rPr>
        <w:t xml:space="preserve">w okresie na </w:t>
      </w:r>
      <w:proofErr w:type="gramStart"/>
      <w:r w:rsidR="00C879D2">
        <w:rPr>
          <w:rFonts w:cstheme="minorHAnsi"/>
        </w:rPr>
        <w:t>maja do</w:t>
      </w:r>
      <w:proofErr w:type="gramEnd"/>
      <w:r w:rsidR="00C879D2">
        <w:rPr>
          <w:rFonts w:cstheme="minorHAnsi"/>
        </w:rPr>
        <w:t xml:space="preserve"> czerwca dwa razy w miesiącu</w:t>
      </w:r>
      <w:r w:rsidR="00FF2C45" w:rsidRPr="00FF2C45">
        <w:rPr>
          <w:rFonts w:cstheme="minorHAnsi"/>
        </w:rPr>
        <w:t xml:space="preserve">, </w:t>
      </w:r>
      <w:r w:rsidR="00D07617" w:rsidRPr="00FF2C45">
        <w:rPr>
          <w:rFonts w:cstheme="minorHAnsi"/>
        </w:rPr>
        <w:t>popiół w okresie zimowy</w:t>
      </w:r>
      <w:r w:rsidR="007D3C7F" w:rsidRPr="00FF2C45">
        <w:rPr>
          <w:rFonts w:cstheme="minorHAnsi"/>
        </w:rPr>
        <w:t>m</w:t>
      </w:r>
      <w:r w:rsidR="00D07617" w:rsidRPr="00FF2C45">
        <w:rPr>
          <w:rFonts w:cstheme="minorHAnsi"/>
        </w:rPr>
        <w:t xml:space="preserve"> dwa razy w miesiącu, natomiast w okresie letnim raz na miesiąc „na zgłoszenie”</w:t>
      </w:r>
      <w:r w:rsidR="00393A18">
        <w:rPr>
          <w:rFonts w:cstheme="minorHAnsi"/>
        </w:rPr>
        <w:t>.</w:t>
      </w:r>
    </w:p>
    <w:p w14:paraId="6F976713" w14:textId="2B29169E" w:rsidR="00393A18" w:rsidRPr="00FF2C45" w:rsidRDefault="00393A18" w:rsidP="00714782">
      <w:pPr>
        <w:ind w:firstLine="709"/>
        <w:jc w:val="both"/>
        <w:rPr>
          <w:rFonts w:cstheme="minorHAnsi"/>
        </w:rPr>
      </w:pPr>
      <w:r>
        <w:rPr>
          <w:rFonts w:cstheme="minorHAnsi"/>
        </w:rPr>
        <w:t xml:space="preserve">Wskaźnik recyklingu za 2024 rok wyniósł </w:t>
      </w:r>
      <w:r w:rsidR="001A23F1">
        <w:rPr>
          <w:rFonts w:cstheme="minorHAnsi"/>
        </w:rPr>
        <w:t>54,41</w:t>
      </w:r>
      <w:r w:rsidR="00200379">
        <w:rPr>
          <w:rFonts w:cstheme="minorHAnsi"/>
        </w:rPr>
        <w:t xml:space="preserve">% </w:t>
      </w:r>
      <w:r w:rsidR="00357DC2">
        <w:rPr>
          <w:rFonts w:cstheme="minorHAnsi"/>
        </w:rPr>
        <w:t>(wymagany poziom za 2024 r. wynosi 45%).</w:t>
      </w:r>
      <w:r w:rsidR="001A23F1">
        <w:rPr>
          <w:rFonts w:cstheme="minorHAnsi"/>
        </w:rPr>
        <w:t xml:space="preserve"> W sprawozdaniu za 2024 po</w:t>
      </w:r>
      <w:r w:rsidR="002955E0">
        <w:rPr>
          <w:rFonts w:cstheme="minorHAnsi"/>
        </w:rPr>
        <w:t xml:space="preserve"> </w:t>
      </w:r>
      <w:r w:rsidR="001A23F1">
        <w:rPr>
          <w:rFonts w:cstheme="minorHAnsi"/>
        </w:rPr>
        <w:t>raz pierwszy uwzględniono masę</w:t>
      </w:r>
      <w:r w:rsidR="001A23F1" w:rsidRPr="001A23F1">
        <w:rPr>
          <w:rFonts w:cstheme="minorHAnsi"/>
        </w:rPr>
        <w:t xml:space="preserve"> bioodpadów stanowiących odpady komunalne posegregowanych i poddanych recyklingowi. Liczba osób z kompostownikami 1618, powierzchnia terenów zielonych 182951 m2 (dane </w:t>
      </w:r>
      <w:r w:rsidR="008D04E7">
        <w:rPr>
          <w:rFonts w:cstheme="minorHAnsi"/>
        </w:rPr>
        <w:t xml:space="preserve">     </w:t>
      </w:r>
      <w:r w:rsidR="008D04E7">
        <w:rPr>
          <w:rFonts w:cstheme="minorHAnsi"/>
        </w:rPr>
        <w:br/>
      </w:r>
      <w:r w:rsidR="001A23F1" w:rsidRPr="001A23F1">
        <w:rPr>
          <w:rFonts w:cstheme="minorHAnsi"/>
        </w:rPr>
        <w:t>z https://polska.geoportal2.pl/map/www/mapa.php?mapa=polska). Wyliczenie (102,13 x 1618 / 1000) + (182951 x 2,87 /</w:t>
      </w:r>
      <w:proofErr w:type="gramStart"/>
      <w:r w:rsidR="001A23F1" w:rsidRPr="001A23F1">
        <w:rPr>
          <w:rFonts w:cstheme="minorHAnsi"/>
        </w:rPr>
        <w:t>1000 )</w:t>
      </w:r>
      <w:proofErr w:type="gramEnd"/>
      <w:r w:rsidR="001A23F1" w:rsidRPr="001A23F1">
        <w:rPr>
          <w:rFonts w:cstheme="minorHAnsi"/>
        </w:rPr>
        <w:t xml:space="preserve"> = 690,3157</w:t>
      </w:r>
      <w:r w:rsidR="008D04E7">
        <w:rPr>
          <w:rFonts w:cstheme="minorHAnsi"/>
        </w:rPr>
        <w:t xml:space="preserve"> ton bioodpadów wliczonych do systemu</w:t>
      </w:r>
    </w:p>
    <w:p w14:paraId="19D1E900" w14:textId="24E46A63" w:rsidR="00D07617" w:rsidRPr="00FF2C45" w:rsidRDefault="00D07617" w:rsidP="00E703DC">
      <w:pPr>
        <w:jc w:val="both"/>
        <w:rPr>
          <w:rFonts w:cstheme="minorHAnsi"/>
        </w:rPr>
      </w:pPr>
    </w:p>
    <w:p w14:paraId="69D21315" w14:textId="1371E2D6" w:rsidR="00D07617" w:rsidRPr="00FF2C45" w:rsidRDefault="00D07617" w:rsidP="00E703DC">
      <w:pPr>
        <w:jc w:val="both"/>
        <w:rPr>
          <w:rFonts w:cstheme="minorHAnsi"/>
        </w:rPr>
      </w:pPr>
      <w:r w:rsidRPr="00FF2C45">
        <w:rPr>
          <w:rFonts w:cstheme="minorHAnsi"/>
        </w:rPr>
        <w:t>AZBEST</w:t>
      </w:r>
    </w:p>
    <w:p w14:paraId="61220A7C" w14:textId="7FC0B899" w:rsidR="00D07617" w:rsidRDefault="00D07617" w:rsidP="00E703DC">
      <w:pPr>
        <w:jc w:val="both"/>
        <w:rPr>
          <w:rFonts w:cstheme="minorHAnsi"/>
          <w:bCs/>
        </w:rPr>
      </w:pPr>
      <w:r w:rsidRPr="00FF2C45">
        <w:rPr>
          <w:rFonts w:cstheme="minorHAnsi"/>
        </w:rPr>
        <w:t xml:space="preserve">Na podstawie </w:t>
      </w:r>
      <w:r w:rsidRPr="00FF2C45">
        <w:rPr>
          <w:rFonts w:cstheme="minorHAnsi"/>
          <w:i/>
        </w:rPr>
        <w:t xml:space="preserve">uchwały </w:t>
      </w:r>
      <w:r w:rsidRPr="00FF2C45">
        <w:rPr>
          <w:rFonts w:cstheme="minorHAnsi"/>
          <w:bCs/>
          <w:i/>
        </w:rPr>
        <w:t>nr XLVII.255.2017</w:t>
      </w:r>
      <w:r w:rsidRPr="00FF2C45">
        <w:rPr>
          <w:rFonts w:cstheme="minorHAnsi"/>
          <w:i/>
        </w:rPr>
        <w:t xml:space="preserve"> </w:t>
      </w:r>
      <w:r w:rsidRPr="00FF2C45">
        <w:rPr>
          <w:rFonts w:cstheme="minorHAnsi"/>
          <w:bCs/>
          <w:i/>
        </w:rPr>
        <w:t xml:space="preserve">Rady Gminy w Ślemieniu </w:t>
      </w:r>
      <w:r w:rsidRPr="00FF2C45">
        <w:rPr>
          <w:rFonts w:cstheme="minorHAnsi"/>
          <w:i/>
        </w:rPr>
        <w:t xml:space="preserve">z dnia 30 listopada 2017 r. w sprawie „zmiany uchwały nr </w:t>
      </w:r>
      <w:r w:rsidRPr="00FF2C45">
        <w:rPr>
          <w:rFonts w:cstheme="minorHAnsi"/>
          <w:bCs/>
          <w:i/>
        </w:rPr>
        <w:t xml:space="preserve">XLIII.228.2017 </w:t>
      </w:r>
      <w:r w:rsidRPr="00FF2C45">
        <w:rPr>
          <w:rFonts w:cstheme="minorHAnsi"/>
          <w:i/>
        </w:rPr>
        <w:t xml:space="preserve">Rady Gminy w Ślemieniu z dnia 20 lipca 2017 roku w sprawie </w:t>
      </w:r>
      <w:r w:rsidRPr="00FF2C45">
        <w:rPr>
          <w:rFonts w:cstheme="minorHAnsi"/>
          <w:bCs/>
          <w:i/>
        </w:rPr>
        <w:t xml:space="preserve">zasad udzielania dotacji celowej na dofinansowanie kosztów usuwania wyrobów zawierających azbest </w:t>
      </w:r>
      <w:r w:rsidR="00E703DC" w:rsidRPr="00FF2C45">
        <w:rPr>
          <w:rFonts w:cstheme="minorHAnsi"/>
          <w:bCs/>
          <w:i/>
        </w:rPr>
        <w:t xml:space="preserve">               </w:t>
      </w:r>
      <w:r w:rsidRPr="00FF2C45">
        <w:rPr>
          <w:rFonts w:cstheme="minorHAnsi"/>
          <w:bCs/>
          <w:i/>
        </w:rPr>
        <w:t>z terenu gminy Ślemień</w:t>
      </w:r>
      <w:r w:rsidRPr="00FF2C45">
        <w:rPr>
          <w:rFonts w:cstheme="minorHAnsi"/>
          <w:bCs/>
        </w:rPr>
        <w:t xml:space="preserve">” oraz w związku z realizacją </w:t>
      </w:r>
      <w:r w:rsidR="00392B7A" w:rsidRPr="00FF2C45">
        <w:rPr>
          <w:rFonts w:cstheme="minorHAnsi"/>
          <w:bCs/>
          <w:i/>
        </w:rPr>
        <w:t xml:space="preserve">uchwały nr XV.80.2011 Rady Gminy w Ślemieniu </w:t>
      </w:r>
      <w:r w:rsidR="00E703DC" w:rsidRPr="00FF2C45">
        <w:rPr>
          <w:rFonts w:cstheme="minorHAnsi"/>
          <w:bCs/>
          <w:i/>
        </w:rPr>
        <w:t xml:space="preserve">     </w:t>
      </w:r>
      <w:r w:rsidR="00392B7A" w:rsidRPr="00FF2C45">
        <w:rPr>
          <w:rFonts w:cstheme="minorHAnsi"/>
          <w:bCs/>
          <w:i/>
        </w:rPr>
        <w:t>z dnia 07 grudnia 2011 r. w sprawie przyjęcia „</w:t>
      </w:r>
      <w:r w:rsidR="00392B7A" w:rsidRPr="00FF2C45">
        <w:rPr>
          <w:rFonts w:cstheme="minorHAnsi"/>
          <w:i/>
          <w:shd w:val="clear" w:color="auto" w:fill="FFFFFF"/>
        </w:rPr>
        <w:t>Program</w:t>
      </w:r>
      <w:r w:rsidR="00B11FD0" w:rsidRPr="00FF2C45">
        <w:rPr>
          <w:rFonts w:cstheme="minorHAnsi"/>
          <w:i/>
          <w:shd w:val="clear" w:color="auto" w:fill="FFFFFF"/>
        </w:rPr>
        <w:t>u</w:t>
      </w:r>
      <w:r w:rsidR="00392B7A" w:rsidRPr="00FF2C45">
        <w:rPr>
          <w:rFonts w:cstheme="minorHAnsi"/>
          <w:i/>
          <w:shd w:val="clear" w:color="auto" w:fill="FFFFFF"/>
        </w:rPr>
        <w:t xml:space="preserve"> usuwania azbestu i wyrobów azbestowych dla gminy Ślemień</w:t>
      </w:r>
      <w:r w:rsidR="00392B7A" w:rsidRPr="00FF2C45">
        <w:rPr>
          <w:rFonts w:cstheme="minorHAnsi"/>
          <w:bCs/>
          <w:i/>
        </w:rPr>
        <w:t>”</w:t>
      </w:r>
      <w:r w:rsidR="00392B7A" w:rsidRPr="00FF2C45">
        <w:rPr>
          <w:rFonts w:cstheme="minorHAnsi"/>
          <w:bCs/>
        </w:rPr>
        <w:t xml:space="preserve"> w roku 20</w:t>
      </w:r>
      <w:r w:rsidR="00FF2C45" w:rsidRPr="00FF2C45">
        <w:rPr>
          <w:rFonts w:cstheme="minorHAnsi"/>
          <w:bCs/>
        </w:rPr>
        <w:t>2</w:t>
      </w:r>
      <w:r w:rsidR="00504728">
        <w:rPr>
          <w:rFonts w:cstheme="minorHAnsi"/>
          <w:bCs/>
        </w:rPr>
        <w:t>3</w:t>
      </w:r>
      <w:r w:rsidR="009C3082" w:rsidRPr="00FF2C45">
        <w:rPr>
          <w:rFonts w:cstheme="minorHAnsi"/>
          <w:bCs/>
        </w:rPr>
        <w:t xml:space="preserve"> </w:t>
      </w:r>
      <w:r w:rsidR="007D3C7F" w:rsidRPr="00FF2C45">
        <w:rPr>
          <w:rFonts w:cstheme="minorHAnsi"/>
          <w:bCs/>
        </w:rPr>
        <w:t>ze środków własnych Gminy</w:t>
      </w:r>
      <w:r w:rsidR="005B74B2">
        <w:rPr>
          <w:rFonts w:cstheme="minorHAnsi"/>
          <w:bCs/>
        </w:rPr>
        <w:t xml:space="preserve"> nie</w:t>
      </w:r>
      <w:r w:rsidR="007D3C7F" w:rsidRPr="00FF2C45">
        <w:rPr>
          <w:rFonts w:cstheme="minorHAnsi"/>
          <w:bCs/>
        </w:rPr>
        <w:t xml:space="preserve"> </w:t>
      </w:r>
      <w:r w:rsidR="009C3082" w:rsidRPr="00FF2C45">
        <w:rPr>
          <w:rFonts w:cstheme="minorHAnsi"/>
          <w:bCs/>
        </w:rPr>
        <w:t xml:space="preserve">udzielono </w:t>
      </w:r>
      <w:r w:rsidR="007D3C7F" w:rsidRPr="00FF2C45">
        <w:rPr>
          <w:rFonts w:cstheme="minorHAnsi"/>
          <w:bCs/>
        </w:rPr>
        <w:t>dofinansowania.</w:t>
      </w:r>
    </w:p>
    <w:p w14:paraId="57594C94" w14:textId="22E99297" w:rsidR="00F36EEA" w:rsidRPr="00FF2C45" w:rsidRDefault="00F36EEA" w:rsidP="00E703DC">
      <w:pPr>
        <w:jc w:val="both"/>
        <w:rPr>
          <w:rFonts w:cstheme="minorHAnsi"/>
        </w:rPr>
      </w:pPr>
      <w:r>
        <w:rPr>
          <w:rFonts w:cstheme="minorHAnsi"/>
          <w:bCs/>
        </w:rPr>
        <w:t xml:space="preserve">Ponadto Gmina współpracowała z Wojewódzkim Funduszem Ochrony Środowiska i Gospodarki Wodnej w Katowicach w zakresie usuwania wyrobów azbestowych. W ramach współpracy uzyskano dotację na utylizację </w:t>
      </w:r>
      <w:r w:rsidR="004E2BE8">
        <w:rPr>
          <w:rFonts w:cstheme="minorHAnsi"/>
          <w:bCs/>
        </w:rPr>
        <w:t>39,79</w:t>
      </w:r>
      <w:r>
        <w:rPr>
          <w:rFonts w:cstheme="minorHAnsi"/>
          <w:bCs/>
        </w:rPr>
        <w:t xml:space="preserve"> ton wyrobów azbestowych</w:t>
      </w:r>
      <w:r w:rsidR="00504728">
        <w:rPr>
          <w:rFonts w:cstheme="minorHAnsi"/>
          <w:bCs/>
        </w:rPr>
        <w:t xml:space="preserve">. </w:t>
      </w:r>
      <w:r>
        <w:rPr>
          <w:rFonts w:cstheme="minorHAnsi"/>
          <w:bCs/>
        </w:rPr>
        <w:t xml:space="preserve">Łączny koszt inwestycji wyniósł </w:t>
      </w:r>
      <w:r w:rsidR="004E2BE8">
        <w:rPr>
          <w:rFonts w:cstheme="minorHAnsi"/>
          <w:bCs/>
        </w:rPr>
        <w:t xml:space="preserve">22247,89 </w:t>
      </w:r>
      <w:r>
        <w:rPr>
          <w:rFonts w:cstheme="minorHAnsi"/>
          <w:bCs/>
        </w:rPr>
        <w:t>zł</w:t>
      </w:r>
      <w:r w:rsidR="00504728">
        <w:rPr>
          <w:rFonts w:cstheme="minorHAnsi"/>
          <w:bCs/>
        </w:rPr>
        <w:t>.</w:t>
      </w:r>
    </w:p>
    <w:p w14:paraId="57F8C8CE" w14:textId="140800FD" w:rsidR="009779A4" w:rsidRPr="00FF2C45" w:rsidRDefault="009779A4" w:rsidP="00E703DC">
      <w:pPr>
        <w:jc w:val="both"/>
        <w:rPr>
          <w:rFonts w:cstheme="minorHAnsi"/>
        </w:rPr>
      </w:pPr>
    </w:p>
    <w:p w14:paraId="121AB511" w14:textId="13F02738" w:rsidR="007D3C7F" w:rsidRPr="00FF2C45" w:rsidRDefault="007D3C7F" w:rsidP="00E703DC">
      <w:pPr>
        <w:jc w:val="both"/>
        <w:rPr>
          <w:rFonts w:cstheme="minorHAnsi"/>
        </w:rPr>
      </w:pPr>
      <w:r w:rsidRPr="00FF2C45">
        <w:rPr>
          <w:rFonts w:cstheme="minorHAnsi"/>
        </w:rPr>
        <w:t>Wymiana kotłów c.o.</w:t>
      </w:r>
    </w:p>
    <w:p w14:paraId="07912390" w14:textId="5BC72B70" w:rsidR="00DC1159" w:rsidRDefault="007D3C7F" w:rsidP="00E703DC">
      <w:pPr>
        <w:spacing w:line="240" w:lineRule="auto"/>
        <w:contextualSpacing/>
        <w:jc w:val="both"/>
        <w:rPr>
          <w:rFonts w:cstheme="minorHAnsi"/>
        </w:rPr>
      </w:pPr>
      <w:r w:rsidRPr="00FF2C45">
        <w:rPr>
          <w:rFonts w:cstheme="minorHAnsi"/>
        </w:rPr>
        <w:t xml:space="preserve">Na podstawie </w:t>
      </w:r>
      <w:r w:rsidR="00DC1159" w:rsidRPr="00FF2C45">
        <w:rPr>
          <w:rFonts w:cstheme="minorHAnsi"/>
          <w:i/>
        </w:rPr>
        <w:t xml:space="preserve">uchwały Nr XLVII.254.2017 Rady Gminy w Ślemieniu z dnia 30 listopada 2017 r. </w:t>
      </w:r>
      <w:r w:rsidR="00E703DC" w:rsidRPr="00FF2C45">
        <w:rPr>
          <w:rFonts w:cstheme="minorHAnsi"/>
          <w:i/>
        </w:rPr>
        <w:t xml:space="preserve">                   </w:t>
      </w:r>
      <w:r w:rsidR="00DC1159" w:rsidRPr="00FF2C45">
        <w:rPr>
          <w:rFonts w:cstheme="minorHAnsi"/>
          <w:i/>
        </w:rPr>
        <w:t xml:space="preserve">„w sprawie zmiany w uchwale nr XLIII.227.2017 Rady Gminy w Ślemieniu z dnia 20 lipca 2017 roku </w:t>
      </w:r>
      <w:r w:rsidR="00E703DC" w:rsidRPr="00FF2C45">
        <w:rPr>
          <w:rFonts w:cstheme="minorHAnsi"/>
          <w:i/>
        </w:rPr>
        <w:t xml:space="preserve">         </w:t>
      </w:r>
      <w:r w:rsidR="00DC1159" w:rsidRPr="00FF2C45">
        <w:rPr>
          <w:rFonts w:cstheme="minorHAnsi"/>
          <w:i/>
        </w:rPr>
        <w:t>w sprawie udzielania dotacji celowej na dofinansowanie kosztów inwestycji służących ochronie powietrza polegających na wymianie źródeł ciepła w budynkach mieszkalnych na terenie gminy Ślemień”</w:t>
      </w:r>
      <w:r w:rsidR="00DC1159" w:rsidRPr="00FF2C45">
        <w:rPr>
          <w:rFonts w:cstheme="minorHAnsi"/>
        </w:rPr>
        <w:t xml:space="preserve"> oraz w związku z realizacją</w:t>
      </w:r>
      <w:r w:rsidR="005C58ED" w:rsidRPr="00FF2C45">
        <w:rPr>
          <w:rFonts w:cstheme="minorHAnsi"/>
        </w:rPr>
        <w:t xml:space="preserve"> uchwały nr XXV.125.2016 Rady Gminy w Ślemieniu z dnia 29 czerwca 2016 r. „w sprawie przyjęcia Planu gospodarki niskoemisyjnej dla Gminy Ślemień” w roku 20</w:t>
      </w:r>
      <w:r w:rsidR="00FF2C45" w:rsidRPr="00FF2C45">
        <w:rPr>
          <w:rFonts w:cstheme="minorHAnsi"/>
        </w:rPr>
        <w:t>2</w:t>
      </w:r>
      <w:r w:rsidR="004E2BE8">
        <w:rPr>
          <w:rFonts w:cstheme="minorHAnsi"/>
        </w:rPr>
        <w:t>4</w:t>
      </w:r>
      <w:r w:rsidR="005C58ED" w:rsidRPr="00FF2C45">
        <w:rPr>
          <w:rFonts w:cstheme="minorHAnsi"/>
        </w:rPr>
        <w:t xml:space="preserve"> zrealizowano dofinansowanie do wymiany </w:t>
      </w:r>
      <w:r w:rsidR="004E2BE8">
        <w:rPr>
          <w:rFonts w:cstheme="minorHAnsi"/>
        </w:rPr>
        <w:t>11</w:t>
      </w:r>
      <w:r w:rsidR="005C58ED" w:rsidRPr="00FF2C45">
        <w:rPr>
          <w:rFonts w:cstheme="minorHAnsi"/>
        </w:rPr>
        <w:t xml:space="preserve"> </w:t>
      </w:r>
      <w:r w:rsidR="004E2BE8">
        <w:rPr>
          <w:rFonts w:cstheme="minorHAnsi"/>
        </w:rPr>
        <w:t>piecy</w:t>
      </w:r>
      <w:r w:rsidR="005C58ED" w:rsidRPr="00FF2C45">
        <w:rPr>
          <w:rFonts w:cstheme="minorHAnsi"/>
        </w:rPr>
        <w:t xml:space="preserve"> (</w:t>
      </w:r>
      <w:r w:rsidR="004E2BE8">
        <w:rPr>
          <w:rFonts w:cstheme="minorHAnsi"/>
        </w:rPr>
        <w:t>10</w:t>
      </w:r>
      <w:r w:rsidR="00504728">
        <w:rPr>
          <w:rFonts w:cstheme="minorHAnsi"/>
        </w:rPr>
        <w:t xml:space="preserve"> </w:t>
      </w:r>
      <w:r w:rsidR="004E2BE8">
        <w:rPr>
          <w:rFonts w:cstheme="minorHAnsi"/>
        </w:rPr>
        <w:t>kotłów</w:t>
      </w:r>
      <w:r w:rsidR="00504728">
        <w:rPr>
          <w:rFonts w:cstheme="minorHAnsi"/>
        </w:rPr>
        <w:t xml:space="preserve"> na pelet </w:t>
      </w:r>
      <w:r w:rsidR="004E2BE8">
        <w:rPr>
          <w:rFonts w:cstheme="minorHAnsi"/>
        </w:rPr>
        <w:t>i 1 kocioł zgazowujący drewno</w:t>
      </w:r>
      <w:r w:rsidR="00504728">
        <w:rPr>
          <w:rFonts w:cstheme="minorHAnsi"/>
        </w:rPr>
        <w:t xml:space="preserve">). Łączny koszt dofinasowania udzielonego przez Gminę wyniósł </w:t>
      </w:r>
      <w:r w:rsidR="00A02999">
        <w:rPr>
          <w:rFonts w:cstheme="minorHAnsi"/>
        </w:rPr>
        <w:t>16500</w:t>
      </w:r>
      <w:r w:rsidR="00504728">
        <w:rPr>
          <w:rFonts w:cstheme="minorHAnsi"/>
        </w:rPr>
        <w:t xml:space="preserve"> zł</w:t>
      </w:r>
      <w:r w:rsidR="00A02999">
        <w:rPr>
          <w:rFonts w:cstheme="minorHAnsi"/>
        </w:rPr>
        <w:t>.</w:t>
      </w:r>
    </w:p>
    <w:p w14:paraId="0D8BC1A1" w14:textId="7B9EF419" w:rsidR="00A02999" w:rsidRDefault="008A04FC" w:rsidP="00E703DC">
      <w:pPr>
        <w:spacing w:line="240" w:lineRule="auto"/>
        <w:contextualSpacing/>
        <w:jc w:val="both"/>
        <w:rPr>
          <w:rFonts w:cstheme="minorHAnsi"/>
        </w:rPr>
      </w:pPr>
      <w:r>
        <w:rPr>
          <w:rFonts w:cstheme="minorHAnsi"/>
        </w:rPr>
        <w:t>Na podstawie uchwały n</w:t>
      </w:r>
      <w:r w:rsidRPr="008A04FC">
        <w:rPr>
          <w:rFonts w:cstheme="minorHAnsi"/>
        </w:rPr>
        <w:t>r XI.46.2024 Rady Gminy w Ślemieniu z dnia 14 listopada 2024</w:t>
      </w:r>
      <w:r>
        <w:rPr>
          <w:rFonts w:cstheme="minorHAnsi"/>
        </w:rPr>
        <w:t>r. od stycznia 2025 r. dotacja do wymiany źródła ciepła będzie wynosić 2500 zł zamiast obecnego 1500 zł.</w:t>
      </w:r>
    </w:p>
    <w:p w14:paraId="352E6B46" w14:textId="20C9B215" w:rsidR="00871346" w:rsidRDefault="00871346" w:rsidP="00E703DC">
      <w:pPr>
        <w:spacing w:line="240" w:lineRule="auto"/>
        <w:contextualSpacing/>
        <w:jc w:val="both"/>
        <w:rPr>
          <w:rFonts w:cstheme="minorHAnsi"/>
        </w:rPr>
      </w:pPr>
    </w:p>
    <w:p w14:paraId="62DB23BA" w14:textId="3982F984" w:rsidR="00F862D4" w:rsidRDefault="00E62D1F" w:rsidP="00E703DC">
      <w:pPr>
        <w:spacing w:line="240" w:lineRule="auto"/>
        <w:contextualSpacing/>
        <w:jc w:val="both"/>
        <w:rPr>
          <w:rFonts w:cstheme="minorHAnsi"/>
        </w:rPr>
      </w:pPr>
      <w:r>
        <w:rPr>
          <w:rFonts w:cstheme="minorHAnsi"/>
        </w:rPr>
        <w:t>Od</w:t>
      </w:r>
      <w:r w:rsidR="00F862D4">
        <w:rPr>
          <w:rFonts w:cstheme="minorHAnsi"/>
        </w:rPr>
        <w:t xml:space="preserve"> czerwc</w:t>
      </w:r>
      <w:r>
        <w:rPr>
          <w:rFonts w:cstheme="minorHAnsi"/>
        </w:rPr>
        <w:t>a</w:t>
      </w:r>
      <w:r w:rsidR="00F862D4">
        <w:rPr>
          <w:rFonts w:cstheme="minorHAnsi"/>
        </w:rPr>
        <w:t xml:space="preserve"> 2021 r. podpisano porozumienie z WFOŚiGW o utworzeniu punktu konsultacyjno-informacyjnego dla programu Czyste Powietrze. Punkt działa</w:t>
      </w:r>
      <w:r w:rsidR="00311A9F">
        <w:rPr>
          <w:rFonts w:cstheme="minorHAnsi"/>
        </w:rPr>
        <w:t xml:space="preserve"> w Urzędzie Gminy w Ślemieniu</w:t>
      </w:r>
      <w:r w:rsidR="00F862D4">
        <w:rPr>
          <w:rFonts w:cstheme="minorHAnsi"/>
        </w:rPr>
        <w:t xml:space="preserve"> od </w:t>
      </w:r>
      <w:r w:rsidR="00311A9F">
        <w:rPr>
          <w:rFonts w:cstheme="minorHAnsi"/>
        </w:rPr>
        <w:t>września</w:t>
      </w:r>
      <w:r w:rsidR="00F862D4">
        <w:rPr>
          <w:rFonts w:cstheme="minorHAnsi"/>
        </w:rPr>
        <w:t xml:space="preserve"> 2021 r.</w:t>
      </w:r>
      <w:r w:rsidR="00311A9F">
        <w:rPr>
          <w:rFonts w:cstheme="minorHAnsi"/>
        </w:rPr>
        <w:t>,</w:t>
      </w:r>
      <w:r w:rsidR="00F862D4">
        <w:rPr>
          <w:rFonts w:cstheme="minorHAnsi"/>
        </w:rPr>
        <w:t xml:space="preserve"> jest czynny dwa razy w </w:t>
      </w:r>
      <w:r w:rsidR="00311A9F">
        <w:rPr>
          <w:rFonts w:cstheme="minorHAnsi"/>
        </w:rPr>
        <w:t>tygodniu. M</w:t>
      </w:r>
      <w:r w:rsidR="00F862D4">
        <w:rPr>
          <w:rFonts w:cstheme="minorHAnsi"/>
        </w:rPr>
        <w:t xml:space="preserve">ieszkańcy mogą </w:t>
      </w:r>
      <w:r w:rsidR="00311A9F">
        <w:rPr>
          <w:rFonts w:cstheme="minorHAnsi"/>
        </w:rPr>
        <w:t xml:space="preserve">tam </w:t>
      </w:r>
      <w:r w:rsidR="00F862D4">
        <w:rPr>
          <w:rFonts w:cstheme="minorHAnsi"/>
        </w:rPr>
        <w:t xml:space="preserve">złożyć wniosek do programu, </w:t>
      </w:r>
      <w:r w:rsidR="00311A9F">
        <w:rPr>
          <w:rFonts w:cstheme="minorHAnsi"/>
        </w:rPr>
        <w:lastRenderedPageBreak/>
        <w:t>uzyskać</w:t>
      </w:r>
      <w:r w:rsidR="00F862D4">
        <w:rPr>
          <w:rFonts w:cstheme="minorHAnsi"/>
        </w:rPr>
        <w:t xml:space="preserve"> pomoc przy wypełnianiu dokumentów oraz zaczerpnąć informacji o możliwości uzyskania dotacji.</w:t>
      </w:r>
    </w:p>
    <w:p w14:paraId="730F4723" w14:textId="70AAFE83" w:rsidR="00F862D4" w:rsidRDefault="00F862D4" w:rsidP="00E703DC">
      <w:pPr>
        <w:spacing w:line="240" w:lineRule="auto"/>
        <w:contextualSpacing/>
        <w:jc w:val="both"/>
        <w:rPr>
          <w:rFonts w:cstheme="minorHAnsi"/>
        </w:rPr>
      </w:pPr>
    </w:p>
    <w:p w14:paraId="6AF2E551" w14:textId="77777777" w:rsidR="00E62D1F" w:rsidRDefault="00E62D1F" w:rsidP="00E703DC">
      <w:pPr>
        <w:spacing w:line="240" w:lineRule="auto"/>
        <w:contextualSpacing/>
        <w:jc w:val="both"/>
        <w:rPr>
          <w:rFonts w:cstheme="minorHAnsi"/>
        </w:rPr>
      </w:pPr>
    </w:p>
    <w:p w14:paraId="7F1D5BEB" w14:textId="78D47413" w:rsidR="007D3C7F" w:rsidRDefault="007D3C7F" w:rsidP="00E703DC">
      <w:pPr>
        <w:jc w:val="both"/>
      </w:pPr>
    </w:p>
    <w:sectPr w:rsidR="007D3C7F" w:rsidSect="00B107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78CF"/>
    <w:multiLevelType w:val="hybridMultilevel"/>
    <w:tmpl w:val="13866000"/>
    <w:lvl w:ilvl="0" w:tplc="0415000F">
      <w:start w:val="1"/>
      <w:numFmt w:val="decimal"/>
      <w:lvlText w:val="%1."/>
      <w:lvlJc w:val="left"/>
      <w:pPr>
        <w:ind w:left="720" w:hanging="360"/>
      </w:pPr>
      <w:rPr>
        <w:rFonts w:hint="default"/>
      </w:rPr>
    </w:lvl>
    <w:lvl w:ilvl="1" w:tplc="612C2C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C64703"/>
    <w:multiLevelType w:val="hybridMultilevel"/>
    <w:tmpl w:val="D6E83F2C"/>
    <w:lvl w:ilvl="0" w:tplc="04209DD0">
      <w:start w:val="1"/>
      <w:numFmt w:val="decimal"/>
      <w:lvlText w:val="%1."/>
      <w:lvlJc w:val="left"/>
      <w:pPr>
        <w:ind w:left="720" w:hanging="360"/>
      </w:pPr>
      <w:rPr>
        <w:b w:val="0"/>
      </w:r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0412615">
    <w:abstractNumId w:val="0"/>
  </w:num>
  <w:num w:numId="2" w16cid:durableId="607078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E8"/>
    <w:rsid w:val="00093486"/>
    <w:rsid w:val="000C1E62"/>
    <w:rsid w:val="000D499B"/>
    <w:rsid w:val="00101018"/>
    <w:rsid w:val="0010460A"/>
    <w:rsid w:val="001A23F1"/>
    <w:rsid w:val="001B35CA"/>
    <w:rsid w:val="001D4E65"/>
    <w:rsid w:val="00200379"/>
    <w:rsid w:val="00207561"/>
    <w:rsid w:val="002333B3"/>
    <w:rsid w:val="002533DB"/>
    <w:rsid w:val="002955E0"/>
    <w:rsid w:val="002D1ECF"/>
    <w:rsid w:val="00311A9F"/>
    <w:rsid w:val="00317B6F"/>
    <w:rsid w:val="00333A44"/>
    <w:rsid w:val="00357DC2"/>
    <w:rsid w:val="00392B7A"/>
    <w:rsid w:val="00393A18"/>
    <w:rsid w:val="003A1F02"/>
    <w:rsid w:val="003A3734"/>
    <w:rsid w:val="0040752A"/>
    <w:rsid w:val="00443701"/>
    <w:rsid w:val="00453278"/>
    <w:rsid w:val="004C636E"/>
    <w:rsid w:val="004E2BE8"/>
    <w:rsid w:val="004F0002"/>
    <w:rsid w:val="00504728"/>
    <w:rsid w:val="0054237A"/>
    <w:rsid w:val="0055546D"/>
    <w:rsid w:val="00556667"/>
    <w:rsid w:val="005B74B2"/>
    <w:rsid w:val="005C58ED"/>
    <w:rsid w:val="005F11AF"/>
    <w:rsid w:val="00606842"/>
    <w:rsid w:val="0066556A"/>
    <w:rsid w:val="006A5F12"/>
    <w:rsid w:val="006B43F0"/>
    <w:rsid w:val="006D4F09"/>
    <w:rsid w:val="00714782"/>
    <w:rsid w:val="0073155E"/>
    <w:rsid w:val="00740BC4"/>
    <w:rsid w:val="007426DC"/>
    <w:rsid w:val="007945B1"/>
    <w:rsid w:val="007D3C7F"/>
    <w:rsid w:val="007D47E8"/>
    <w:rsid w:val="007D5C69"/>
    <w:rsid w:val="008167BE"/>
    <w:rsid w:val="00871346"/>
    <w:rsid w:val="008775F2"/>
    <w:rsid w:val="008A04FC"/>
    <w:rsid w:val="008D04E7"/>
    <w:rsid w:val="009779A4"/>
    <w:rsid w:val="00993954"/>
    <w:rsid w:val="009B0D4F"/>
    <w:rsid w:val="009C3082"/>
    <w:rsid w:val="009C50B8"/>
    <w:rsid w:val="009D5B7E"/>
    <w:rsid w:val="009E4575"/>
    <w:rsid w:val="00A02999"/>
    <w:rsid w:val="00A46A52"/>
    <w:rsid w:val="00A52B4D"/>
    <w:rsid w:val="00A756E1"/>
    <w:rsid w:val="00A93C47"/>
    <w:rsid w:val="00AA7FC1"/>
    <w:rsid w:val="00AE515E"/>
    <w:rsid w:val="00B009D3"/>
    <w:rsid w:val="00B107BD"/>
    <w:rsid w:val="00B11FD0"/>
    <w:rsid w:val="00B928CA"/>
    <w:rsid w:val="00BE73D5"/>
    <w:rsid w:val="00BF44A4"/>
    <w:rsid w:val="00C40C48"/>
    <w:rsid w:val="00C819C1"/>
    <w:rsid w:val="00C879D2"/>
    <w:rsid w:val="00C96C5A"/>
    <w:rsid w:val="00CA4211"/>
    <w:rsid w:val="00CA5854"/>
    <w:rsid w:val="00CF5327"/>
    <w:rsid w:val="00D07617"/>
    <w:rsid w:val="00D44E33"/>
    <w:rsid w:val="00DC1159"/>
    <w:rsid w:val="00DE17BD"/>
    <w:rsid w:val="00DF301F"/>
    <w:rsid w:val="00E62D1F"/>
    <w:rsid w:val="00E703DC"/>
    <w:rsid w:val="00E751AC"/>
    <w:rsid w:val="00F01615"/>
    <w:rsid w:val="00F36EEA"/>
    <w:rsid w:val="00F43FD6"/>
    <w:rsid w:val="00F862D4"/>
    <w:rsid w:val="00FB1B7F"/>
    <w:rsid w:val="00FC1159"/>
    <w:rsid w:val="00FF2C45"/>
    <w:rsid w:val="00FF5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9184"/>
  <w15:chartTrackingRefBased/>
  <w15:docId w15:val="{0DA28CCA-0881-430A-B512-B3FD0119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1159"/>
    <w:pPr>
      <w:keepNext/>
      <w:spacing w:after="0" w:line="240" w:lineRule="auto"/>
      <w:jc w:val="center"/>
      <w:outlineLvl w:val="0"/>
    </w:pPr>
    <w:rPr>
      <w:rFonts w:ascii="Arial" w:eastAsia="Times New Roman" w:hAnsi="Arial" w:cs="Times New Roman"/>
      <w:b/>
      <w:sz w:val="28"/>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7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92B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C1159"/>
    <w:rPr>
      <w:rFonts w:ascii="Arial" w:eastAsia="Times New Roman" w:hAnsi="Arial"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65088">
      <w:bodyDiv w:val="1"/>
      <w:marLeft w:val="0"/>
      <w:marRight w:val="0"/>
      <w:marTop w:val="0"/>
      <w:marBottom w:val="0"/>
      <w:divBdr>
        <w:top w:val="none" w:sz="0" w:space="0" w:color="auto"/>
        <w:left w:val="none" w:sz="0" w:space="0" w:color="auto"/>
        <w:bottom w:val="none" w:sz="0" w:space="0" w:color="auto"/>
        <w:right w:val="none" w:sz="0" w:space="0" w:color="auto"/>
      </w:divBdr>
    </w:div>
    <w:div w:id="575938623">
      <w:bodyDiv w:val="1"/>
      <w:marLeft w:val="0"/>
      <w:marRight w:val="0"/>
      <w:marTop w:val="0"/>
      <w:marBottom w:val="0"/>
      <w:divBdr>
        <w:top w:val="none" w:sz="0" w:space="0" w:color="auto"/>
        <w:left w:val="none" w:sz="0" w:space="0" w:color="auto"/>
        <w:bottom w:val="none" w:sz="0" w:space="0" w:color="auto"/>
        <w:right w:val="none" w:sz="0" w:space="0" w:color="auto"/>
      </w:divBdr>
    </w:div>
    <w:div w:id="760763138">
      <w:bodyDiv w:val="1"/>
      <w:marLeft w:val="0"/>
      <w:marRight w:val="0"/>
      <w:marTop w:val="0"/>
      <w:marBottom w:val="0"/>
      <w:divBdr>
        <w:top w:val="none" w:sz="0" w:space="0" w:color="auto"/>
        <w:left w:val="none" w:sz="0" w:space="0" w:color="auto"/>
        <w:bottom w:val="none" w:sz="0" w:space="0" w:color="auto"/>
        <w:right w:val="none" w:sz="0" w:space="0" w:color="auto"/>
      </w:divBdr>
    </w:div>
    <w:div w:id="825828131">
      <w:bodyDiv w:val="1"/>
      <w:marLeft w:val="0"/>
      <w:marRight w:val="0"/>
      <w:marTop w:val="0"/>
      <w:marBottom w:val="0"/>
      <w:divBdr>
        <w:top w:val="none" w:sz="0" w:space="0" w:color="auto"/>
        <w:left w:val="none" w:sz="0" w:space="0" w:color="auto"/>
        <w:bottom w:val="none" w:sz="0" w:space="0" w:color="auto"/>
        <w:right w:val="none" w:sz="0" w:space="0" w:color="auto"/>
      </w:divBdr>
    </w:div>
    <w:div w:id="847792083">
      <w:bodyDiv w:val="1"/>
      <w:marLeft w:val="0"/>
      <w:marRight w:val="0"/>
      <w:marTop w:val="0"/>
      <w:marBottom w:val="0"/>
      <w:divBdr>
        <w:top w:val="none" w:sz="0" w:space="0" w:color="auto"/>
        <w:left w:val="none" w:sz="0" w:space="0" w:color="auto"/>
        <w:bottom w:val="none" w:sz="0" w:space="0" w:color="auto"/>
        <w:right w:val="none" w:sz="0" w:space="0" w:color="auto"/>
      </w:divBdr>
    </w:div>
    <w:div w:id="1292445461">
      <w:bodyDiv w:val="1"/>
      <w:marLeft w:val="0"/>
      <w:marRight w:val="0"/>
      <w:marTop w:val="0"/>
      <w:marBottom w:val="0"/>
      <w:divBdr>
        <w:top w:val="none" w:sz="0" w:space="0" w:color="auto"/>
        <w:left w:val="none" w:sz="0" w:space="0" w:color="auto"/>
        <w:bottom w:val="none" w:sz="0" w:space="0" w:color="auto"/>
        <w:right w:val="none" w:sz="0" w:space="0" w:color="auto"/>
      </w:divBdr>
    </w:div>
    <w:div w:id="1514025706">
      <w:bodyDiv w:val="1"/>
      <w:marLeft w:val="0"/>
      <w:marRight w:val="0"/>
      <w:marTop w:val="0"/>
      <w:marBottom w:val="0"/>
      <w:divBdr>
        <w:top w:val="none" w:sz="0" w:space="0" w:color="auto"/>
        <w:left w:val="none" w:sz="0" w:space="0" w:color="auto"/>
        <w:bottom w:val="none" w:sz="0" w:space="0" w:color="auto"/>
        <w:right w:val="none" w:sz="0" w:space="0" w:color="auto"/>
      </w:divBdr>
    </w:div>
    <w:div w:id="1531527869">
      <w:bodyDiv w:val="1"/>
      <w:marLeft w:val="0"/>
      <w:marRight w:val="0"/>
      <w:marTop w:val="0"/>
      <w:marBottom w:val="0"/>
      <w:divBdr>
        <w:top w:val="none" w:sz="0" w:space="0" w:color="auto"/>
        <w:left w:val="none" w:sz="0" w:space="0" w:color="auto"/>
        <w:bottom w:val="none" w:sz="0" w:space="0" w:color="auto"/>
        <w:right w:val="none" w:sz="0" w:space="0" w:color="auto"/>
      </w:divBdr>
    </w:div>
    <w:div w:id="1796557123">
      <w:bodyDiv w:val="1"/>
      <w:marLeft w:val="0"/>
      <w:marRight w:val="0"/>
      <w:marTop w:val="0"/>
      <w:marBottom w:val="0"/>
      <w:divBdr>
        <w:top w:val="none" w:sz="0" w:space="0" w:color="auto"/>
        <w:left w:val="none" w:sz="0" w:space="0" w:color="auto"/>
        <w:bottom w:val="none" w:sz="0" w:space="0" w:color="auto"/>
        <w:right w:val="none" w:sz="0" w:space="0" w:color="auto"/>
      </w:divBdr>
      <w:divsChild>
        <w:div w:id="168127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1082</Words>
  <Characters>6495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mariusz_borowy</dc:creator>
  <cp:keywords/>
  <dc:description/>
  <cp:lastModifiedBy>Mariusz Borowy</cp:lastModifiedBy>
  <cp:revision>3</cp:revision>
  <dcterms:created xsi:type="dcterms:W3CDTF">2025-04-14T07:55:00Z</dcterms:created>
  <dcterms:modified xsi:type="dcterms:W3CDTF">2025-04-14T07:59:00Z</dcterms:modified>
</cp:coreProperties>
</file>