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9F20" w14:textId="77777777" w:rsidR="00C4204E" w:rsidRPr="00090E34" w:rsidRDefault="00C4204E" w:rsidP="00C4204E">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1E0C6818" w14:textId="77777777" w:rsidR="00C4204E" w:rsidRPr="00090E34" w:rsidRDefault="00C4204E" w:rsidP="00C4204E">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5D021B03" w14:textId="77777777" w:rsidR="00C4204E" w:rsidRPr="00090E34" w:rsidRDefault="00C4204E" w:rsidP="00C4204E">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34D32811" w14:textId="77777777" w:rsidR="00C4204E" w:rsidRPr="00090E34" w:rsidRDefault="00C4204E" w:rsidP="00C4204E">
      <w:pPr>
        <w:spacing w:line="276" w:lineRule="auto"/>
        <w:jc w:val="both"/>
        <w:rPr>
          <w:rFonts w:asciiTheme="minorHAnsi" w:hAnsiTheme="minorHAnsi" w:cstheme="minorHAnsi"/>
          <w:b/>
          <w:sz w:val="32"/>
        </w:rPr>
      </w:pPr>
    </w:p>
    <w:p w14:paraId="23B4F62F" w14:textId="77777777" w:rsidR="00C4204E" w:rsidRPr="00090E34" w:rsidRDefault="00C4204E" w:rsidP="00C4204E">
      <w:pPr>
        <w:spacing w:line="276" w:lineRule="auto"/>
        <w:jc w:val="both"/>
        <w:rPr>
          <w:rFonts w:asciiTheme="minorHAnsi" w:hAnsiTheme="minorHAnsi" w:cstheme="minorHAnsi"/>
          <w:b/>
          <w:sz w:val="32"/>
        </w:rPr>
      </w:pPr>
    </w:p>
    <w:p w14:paraId="70553307" w14:textId="77777777" w:rsidR="00C4204E" w:rsidRPr="00090E34" w:rsidRDefault="00C4204E" w:rsidP="00C4204E">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0F93781A" w14:textId="77777777" w:rsidR="00C4204E" w:rsidRDefault="00C4204E" w:rsidP="00C4204E">
      <w:pPr>
        <w:tabs>
          <w:tab w:val="left" w:pos="142"/>
        </w:tabs>
        <w:spacing w:line="276" w:lineRule="auto"/>
        <w:jc w:val="center"/>
        <w:rPr>
          <w:b/>
          <w:sz w:val="28"/>
        </w:rPr>
      </w:pPr>
    </w:p>
    <w:p w14:paraId="277327EE" w14:textId="77777777" w:rsidR="00C4204E" w:rsidRDefault="00C4204E" w:rsidP="00C4204E">
      <w:pPr>
        <w:tabs>
          <w:tab w:val="left" w:pos="142"/>
        </w:tabs>
        <w:spacing w:line="276" w:lineRule="auto"/>
        <w:jc w:val="center"/>
        <w:rPr>
          <w:b/>
          <w:sz w:val="28"/>
        </w:rPr>
      </w:pPr>
    </w:p>
    <w:p w14:paraId="07CFAEEE" w14:textId="77777777" w:rsidR="00C4204E" w:rsidRPr="00EE72F9" w:rsidRDefault="00C4204E" w:rsidP="00C4204E">
      <w:pPr>
        <w:tabs>
          <w:tab w:val="left" w:pos="142"/>
        </w:tabs>
        <w:spacing w:line="276" w:lineRule="auto"/>
        <w:jc w:val="center"/>
        <w:rPr>
          <w:b/>
          <w:sz w:val="28"/>
        </w:rPr>
      </w:pPr>
    </w:p>
    <w:p w14:paraId="45768F4B" w14:textId="77777777" w:rsidR="00C4204E" w:rsidRPr="00EE72F9" w:rsidRDefault="00C4204E" w:rsidP="00C4204E">
      <w:pPr>
        <w:tabs>
          <w:tab w:val="left" w:pos="142"/>
        </w:tabs>
        <w:spacing w:line="276" w:lineRule="auto"/>
        <w:jc w:val="center"/>
        <w:rPr>
          <w:b/>
          <w:sz w:val="28"/>
        </w:rPr>
      </w:pPr>
    </w:p>
    <w:p w14:paraId="7063F7E0" w14:textId="15B0BE97" w:rsidR="00C4204E" w:rsidRPr="00744118" w:rsidRDefault="00C4204E" w:rsidP="00C4204E">
      <w:pPr>
        <w:spacing w:line="276" w:lineRule="auto"/>
        <w:ind w:left="360"/>
        <w:jc w:val="center"/>
        <w:rPr>
          <w:b/>
          <w:bCs/>
          <w:i/>
          <w:sz w:val="44"/>
          <w:szCs w:val="28"/>
        </w:rPr>
      </w:pPr>
      <w:r w:rsidRPr="00EE72F9">
        <w:rPr>
          <w:b/>
          <w:bCs/>
          <w:sz w:val="44"/>
          <w:szCs w:val="28"/>
        </w:rPr>
        <w:t>„</w:t>
      </w:r>
      <w:r>
        <w:rPr>
          <w:b/>
          <w:bCs/>
          <w:i/>
          <w:sz w:val="44"/>
          <w:szCs w:val="28"/>
        </w:rPr>
        <w:t xml:space="preserve">Zakup i dostawa oświetlenia mobilnego – wieży oświetleniowej </w:t>
      </w:r>
      <w:r w:rsidRPr="00744118">
        <w:rPr>
          <w:b/>
          <w:bCs/>
          <w:i/>
          <w:sz w:val="44"/>
          <w:szCs w:val="28"/>
        </w:rPr>
        <w:t>w ramach Programu Ochrony Ludności i Obrony Cywilnej</w:t>
      </w:r>
      <w:r>
        <w:rPr>
          <w:b/>
          <w:bCs/>
          <w:i/>
          <w:sz w:val="44"/>
          <w:szCs w:val="28"/>
        </w:rPr>
        <w:t xml:space="preserve"> </w:t>
      </w:r>
      <w:r w:rsidRPr="00EE72F9">
        <w:rPr>
          <w:b/>
          <w:bCs/>
          <w:sz w:val="44"/>
          <w:szCs w:val="28"/>
        </w:rPr>
        <w:t>”</w:t>
      </w:r>
    </w:p>
    <w:p w14:paraId="46293F17" w14:textId="77777777" w:rsidR="00C4204E" w:rsidRPr="00EE72F9" w:rsidRDefault="00C4204E" w:rsidP="00C4204E">
      <w:pPr>
        <w:keepNext/>
        <w:spacing w:line="276" w:lineRule="auto"/>
        <w:jc w:val="center"/>
        <w:outlineLvl w:val="6"/>
        <w:rPr>
          <w:b/>
          <w:sz w:val="32"/>
        </w:rPr>
      </w:pPr>
    </w:p>
    <w:p w14:paraId="376632CB" w14:textId="77777777" w:rsidR="00C4204E" w:rsidRPr="00EE72F9" w:rsidRDefault="00C4204E" w:rsidP="00C4204E">
      <w:pPr>
        <w:spacing w:line="276" w:lineRule="auto"/>
      </w:pPr>
    </w:p>
    <w:p w14:paraId="66B75CA0" w14:textId="77777777" w:rsidR="00C4204E" w:rsidRPr="00EE72F9" w:rsidRDefault="00C4204E" w:rsidP="00C4204E">
      <w:pPr>
        <w:spacing w:line="276" w:lineRule="auto"/>
      </w:pPr>
    </w:p>
    <w:p w14:paraId="23695FE3" w14:textId="7DDF249D" w:rsidR="00C4204E" w:rsidRPr="00EE72F9" w:rsidRDefault="00C4204E" w:rsidP="00C4204E">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2.9</w:t>
      </w:r>
      <w:r w:rsidRPr="000C260F">
        <w:rPr>
          <w:b/>
          <w:bCs/>
          <w:sz w:val="24"/>
        </w:rPr>
        <w:t>.202</w:t>
      </w:r>
      <w:r>
        <w:rPr>
          <w:b/>
          <w:bCs/>
          <w:sz w:val="24"/>
        </w:rPr>
        <w:t>5</w:t>
      </w:r>
    </w:p>
    <w:p w14:paraId="1C904150" w14:textId="77777777" w:rsidR="00C4204E" w:rsidRPr="00EE72F9" w:rsidRDefault="00C4204E" w:rsidP="00C4204E">
      <w:pPr>
        <w:spacing w:line="276" w:lineRule="auto"/>
      </w:pPr>
    </w:p>
    <w:p w14:paraId="6526563A" w14:textId="77777777" w:rsidR="00C4204E" w:rsidRPr="00EE72F9" w:rsidRDefault="00C4204E" w:rsidP="00C4204E">
      <w:pPr>
        <w:spacing w:line="276" w:lineRule="auto"/>
        <w:jc w:val="center"/>
      </w:pPr>
    </w:p>
    <w:p w14:paraId="0AC6E9CE" w14:textId="77777777" w:rsidR="00C4204E" w:rsidRPr="00EE72F9" w:rsidRDefault="00C4204E" w:rsidP="00C4204E">
      <w:pPr>
        <w:spacing w:line="276" w:lineRule="auto"/>
        <w:jc w:val="center"/>
      </w:pPr>
    </w:p>
    <w:p w14:paraId="0C044B8C" w14:textId="77777777" w:rsidR="00C4204E" w:rsidRPr="00EE72F9" w:rsidRDefault="00C4204E" w:rsidP="00C4204E">
      <w:pPr>
        <w:spacing w:line="276" w:lineRule="auto"/>
        <w:jc w:val="center"/>
      </w:pPr>
    </w:p>
    <w:p w14:paraId="1BD2E6D2" w14:textId="77777777" w:rsidR="00C4204E" w:rsidRPr="00EE72F9" w:rsidRDefault="00C4204E" w:rsidP="00C4204E">
      <w:pPr>
        <w:autoSpaceDE w:val="0"/>
        <w:autoSpaceDN w:val="0"/>
        <w:spacing w:line="276" w:lineRule="auto"/>
        <w:ind w:left="6372"/>
        <w:jc w:val="center"/>
        <w:rPr>
          <w:b/>
          <w:bCs/>
          <w:sz w:val="32"/>
          <w:szCs w:val="28"/>
        </w:rPr>
      </w:pPr>
      <w:r w:rsidRPr="00EE72F9">
        <w:rPr>
          <w:b/>
          <w:bCs/>
          <w:sz w:val="32"/>
          <w:szCs w:val="28"/>
        </w:rPr>
        <w:t xml:space="preserve">ZATWIERDZIŁ: </w:t>
      </w:r>
    </w:p>
    <w:p w14:paraId="04EDB92B" w14:textId="6DA0C2FC" w:rsidR="00C4204E" w:rsidRPr="00B8356B" w:rsidRDefault="00C4204E" w:rsidP="00C4204E">
      <w:pPr>
        <w:autoSpaceDE w:val="0"/>
        <w:autoSpaceDN w:val="0"/>
        <w:spacing w:line="276" w:lineRule="auto"/>
        <w:jc w:val="both"/>
        <w:rPr>
          <w:rFonts w:asciiTheme="minorHAnsi" w:hAnsiTheme="minorHAnsi" w:cstheme="minorHAnsi"/>
          <w:b/>
          <w:bCs/>
          <w:sz w:val="24"/>
          <w:szCs w:val="24"/>
        </w:rPr>
      </w:pPr>
      <w:r w:rsidRPr="00B8356B">
        <w:rPr>
          <w:b/>
          <w:bCs/>
          <w:sz w:val="24"/>
          <w:szCs w:val="24"/>
        </w:rPr>
        <w:t xml:space="preserve">                                                                                  </w:t>
      </w:r>
      <w:r w:rsidR="00B8356B">
        <w:rPr>
          <w:b/>
          <w:bCs/>
          <w:sz w:val="24"/>
          <w:szCs w:val="24"/>
        </w:rPr>
        <w:t xml:space="preserve">                           </w:t>
      </w:r>
      <w:r w:rsidRPr="00B8356B">
        <w:rPr>
          <w:b/>
          <w:bCs/>
          <w:sz w:val="24"/>
          <w:szCs w:val="24"/>
        </w:rPr>
        <w:t xml:space="preserve"> </w:t>
      </w:r>
      <w:r w:rsidR="00B8356B" w:rsidRPr="00B8356B">
        <w:rPr>
          <w:b/>
          <w:bCs/>
          <w:sz w:val="24"/>
          <w:szCs w:val="24"/>
        </w:rPr>
        <w:t>Wójt Gminy Ślemień</w:t>
      </w:r>
    </w:p>
    <w:p w14:paraId="2EE566E9" w14:textId="09FD396E" w:rsidR="00C4204E" w:rsidRPr="00B8356B" w:rsidRDefault="00B8356B" w:rsidP="00C4204E">
      <w:pPr>
        <w:autoSpaceDE w:val="0"/>
        <w:autoSpaceDN w:val="0"/>
        <w:spacing w:line="276" w:lineRule="auto"/>
        <w:ind w:firstLine="7"/>
        <w:jc w:val="center"/>
        <w:rPr>
          <w:sz w:val="24"/>
          <w:szCs w:val="24"/>
        </w:rPr>
      </w:pPr>
      <w:r>
        <w:rPr>
          <w:sz w:val="32"/>
          <w:szCs w:val="28"/>
        </w:rPr>
        <w:t xml:space="preserve">                                                                                 </w:t>
      </w:r>
      <w:r w:rsidRPr="00B8356B">
        <w:rPr>
          <w:sz w:val="24"/>
          <w:szCs w:val="24"/>
        </w:rPr>
        <w:t>Jarosław Krzak</w:t>
      </w:r>
    </w:p>
    <w:p w14:paraId="31A9CCA4" w14:textId="77777777" w:rsidR="00C4204E" w:rsidRDefault="00C4204E" w:rsidP="00C4204E">
      <w:pPr>
        <w:autoSpaceDE w:val="0"/>
        <w:autoSpaceDN w:val="0"/>
        <w:spacing w:line="276" w:lineRule="auto"/>
        <w:ind w:firstLine="7"/>
        <w:jc w:val="center"/>
        <w:rPr>
          <w:sz w:val="32"/>
          <w:szCs w:val="28"/>
        </w:rPr>
      </w:pPr>
    </w:p>
    <w:p w14:paraId="5A1C7ACE" w14:textId="77777777" w:rsidR="00C4204E" w:rsidRDefault="00C4204E" w:rsidP="00C4204E">
      <w:pPr>
        <w:autoSpaceDE w:val="0"/>
        <w:autoSpaceDN w:val="0"/>
        <w:spacing w:line="276" w:lineRule="auto"/>
        <w:ind w:firstLine="7"/>
        <w:jc w:val="center"/>
        <w:rPr>
          <w:sz w:val="32"/>
          <w:szCs w:val="28"/>
        </w:rPr>
      </w:pPr>
    </w:p>
    <w:p w14:paraId="11A018C4" w14:textId="77777777" w:rsidR="00C4204E" w:rsidRDefault="00C4204E" w:rsidP="00C4204E">
      <w:pPr>
        <w:autoSpaceDE w:val="0"/>
        <w:autoSpaceDN w:val="0"/>
        <w:spacing w:line="276" w:lineRule="auto"/>
        <w:ind w:firstLine="7"/>
        <w:jc w:val="center"/>
        <w:rPr>
          <w:sz w:val="32"/>
          <w:szCs w:val="28"/>
        </w:rPr>
      </w:pPr>
    </w:p>
    <w:p w14:paraId="45E2C835" w14:textId="77777777" w:rsidR="00C4204E" w:rsidRPr="00EE72F9" w:rsidRDefault="00C4204E" w:rsidP="00C4204E">
      <w:pPr>
        <w:autoSpaceDE w:val="0"/>
        <w:autoSpaceDN w:val="0"/>
        <w:spacing w:line="276" w:lineRule="auto"/>
        <w:ind w:firstLine="7"/>
        <w:jc w:val="center"/>
        <w:rPr>
          <w:sz w:val="32"/>
          <w:szCs w:val="28"/>
        </w:rPr>
      </w:pPr>
    </w:p>
    <w:p w14:paraId="28276B27" w14:textId="77777777" w:rsidR="00C4204E" w:rsidRPr="005F0971" w:rsidRDefault="00C4204E" w:rsidP="00C4204E">
      <w:pPr>
        <w:autoSpaceDE w:val="0"/>
        <w:autoSpaceDN w:val="0"/>
        <w:spacing w:line="276" w:lineRule="auto"/>
        <w:ind w:firstLine="7"/>
        <w:jc w:val="center"/>
        <w:rPr>
          <w:sz w:val="22"/>
        </w:rPr>
      </w:pPr>
    </w:p>
    <w:p w14:paraId="0B467F1A" w14:textId="52A58DEF" w:rsidR="00C4204E" w:rsidRPr="005F0971" w:rsidRDefault="00C4204E" w:rsidP="00C4204E">
      <w:pPr>
        <w:autoSpaceDE w:val="0"/>
        <w:autoSpaceDN w:val="0"/>
        <w:spacing w:line="276" w:lineRule="auto"/>
        <w:ind w:firstLine="7"/>
        <w:jc w:val="center"/>
        <w:rPr>
          <w:sz w:val="22"/>
        </w:rPr>
      </w:pPr>
      <w:r>
        <w:rPr>
          <w:sz w:val="22"/>
        </w:rPr>
        <w:t>1</w:t>
      </w:r>
      <w:r w:rsidR="008D122D">
        <w:rPr>
          <w:sz w:val="22"/>
        </w:rPr>
        <w:t>6</w:t>
      </w:r>
      <w:r w:rsidRPr="005F0971">
        <w:rPr>
          <w:sz w:val="22"/>
        </w:rPr>
        <w:t xml:space="preserve"> października 2025 roku</w:t>
      </w:r>
    </w:p>
    <w:p w14:paraId="2A86CA4F" w14:textId="77777777" w:rsidR="00C4204E" w:rsidRPr="00EE72F9" w:rsidRDefault="00C4204E" w:rsidP="00C4204E">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100C0594" w14:textId="77777777" w:rsidR="00C4204E" w:rsidRPr="00EE72F9" w:rsidRDefault="00C4204E" w:rsidP="00C4204E">
      <w:pPr>
        <w:spacing w:line="276" w:lineRule="auto"/>
        <w:rPr>
          <w:b/>
          <w:bCs/>
          <w:sz w:val="22"/>
        </w:rPr>
      </w:pPr>
    </w:p>
    <w:p w14:paraId="383EC02E" w14:textId="77777777" w:rsidR="00C4204E" w:rsidRPr="00EE72F9" w:rsidRDefault="00C4204E" w:rsidP="00C4204E">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C4204E" w:rsidRPr="00FD67DC" w14:paraId="4CD73FF3" w14:textId="77777777" w:rsidTr="004F67B7">
        <w:trPr>
          <w:tblCellSpacing w:w="0" w:type="dxa"/>
        </w:trPr>
        <w:tc>
          <w:tcPr>
            <w:tcW w:w="5000" w:type="pct"/>
            <w:gridSpan w:val="3"/>
            <w:vAlign w:val="center"/>
          </w:tcPr>
          <w:p w14:paraId="5A5F6E24" w14:textId="77777777" w:rsidR="00C4204E" w:rsidRPr="00FD67DC" w:rsidRDefault="00C4204E" w:rsidP="004F67B7">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A113538" w14:textId="77777777" w:rsidR="00C4204E" w:rsidRPr="00FD67DC" w:rsidRDefault="00C4204E" w:rsidP="004F67B7">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21336C87" w14:textId="77777777" w:rsidR="00C4204E" w:rsidRPr="00FD67DC" w:rsidRDefault="00C4204E" w:rsidP="004F67B7">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C4204E" w:rsidRPr="00FD67DC" w14:paraId="66799243"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8BD1CFF"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0A0E6D08"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4204E" w:rsidRPr="00FD67DC" w14:paraId="16F63B9D"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0ED03AE"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7FB32743"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C4204E" w:rsidRPr="00FD67DC" w14:paraId="53873FE3"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F59BCB0"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0A8B728" w14:textId="77777777" w:rsidR="00C4204E" w:rsidRPr="00FD67DC" w:rsidRDefault="00C4204E" w:rsidP="004F67B7">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C4204E" w:rsidRPr="00FD67DC" w14:paraId="02BF9FBE" w14:textId="77777777" w:rsidTr="004F67B7">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06AAD6D0"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62FF99E4"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C4204E" w:rsidRPr="00FD67DC" w14:paraId="4B0F4B5B" w14:textId="77777777" w:rsidTr="004F67B7">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0C5FDC52" w14:textId="77777777" w:rsidR="00C4204E" w:rsidRPr="00FD67DC" w:rsidRDefault="00C4204E" w:rsidP="004F67B7">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5493F448" w14:textId="77777777" w:rsidR="00C4204E" w:rsidRPr="00FD67DC" w:rsidRDefault="00C4204E" w:rsidP="004F67B7">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24CAD17B" w14:textId="77777777" w:rsidR="00C4204E" w:rsidRPr="00FD67DC" w:rsidRDefault="00C4204E" w:rsidP="00C4204E">
      <w:pPr>
        <w:tabs>
          <w:tab w:val="left" w:pos="567"/>
        </w:tabs>
        <w:spacing w:line="276" w:lineRule="auto"/>
        <w:ind w:right="1"/>
        <w:jc w:val="both"/>
        <w:rPr>
          <w:rFonts w:asciiTheme="minorHAnsi" w:hAnsiTheme="minorHAnsi" w:cstheme="minorHAnsi"/>
          <w:color w:val="0070C0"/>
          <w:sz w:val="22"/>
          <w:szCs w:val="22"/>
        </w:rPr>
      </w:pPr>
    </w:p>
    <w:p w14:paraId="13D312FC" w14:textId="77777777" w:rsidR="00C4204E" w:rsidRPr="00FD67DC" w:rsidRDefault="00C4204E" w:rsidP="00C4204E">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238C02F9" w14:textId="55BFC4A8" w:rsidR="00C4204E" w:rsidRPr="00FD67DC" w:rsidRDefault="00C4204E" w:rsidP="00C4204E">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Pr="00FD67DC">
        <w:rPr>
          <w:rFonts w:asciiTheme="minorHAnsi" w:hAnsiTheme="minorHAnsi" w:cstheme="minorHAnsi"/>
          <w:sz w:val="22"/>
          <w:szCs w:val="22"/>
        </w:rPr>
        <w:t xml:space="preserve"> </w:t>
      </w:r>
      <w:r w:rsidR="00A604AB" w:rsidRPr="00A604AB">
        <w:rPr>
          <w:rFonts w:asciiTheme="minorHAnsi" w:hAnsiTheme="minorHAnsi" w:cstheme="minorHAnsi"/>
          <w:color w:val="EE0000"/>
          <w:sz w:val="22"/>
          <w:szCs w:val="22"/>
        </w:rPr>
        <w:t>ocds-148610-fc727e30-68c5-4c03-b95a-d27a0746a580</w:t>
      </w:r>
    </w:p>
    <w:p w14:paraId="4D5AD17D" w14:textId="337DF6BE" w:rsidR="00C4204E" w:rsidRPr="00FD67DC" w:rsidRDefault="00C4204E" w:rsidP="00C4204E">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Pr="005F0971">
        <w:t xml:space="preserve"> </w:t>
      </w:r>
      <w:r w:rsidR="00A604AB" w:rsidRPr="00A604AB">
        <w:rPr>
          <w:color w:val="EE0000"/>
          <w:sz w:val="22"/>
          <w:szCs w:val="22"/>
        </w:rPr>
        <w:t>ocds-148610-fc727e30-68c5-4c03-b95a-d27a0746a580</w:t>
      </w:r>
    </w:p>
    <w:p w14:paraId="302389BE" w14:textId="77777777" w:rsidR="00C4204E" w:rsidRPr="00FD67DC" w:rsidRDefault="00C4204E" w:rsidP="00C4204E">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5E6815FD" w14:textId="77777777" w:rsidR="00C4204E" w:rsidRPr="00FD67DC" w:rsidRDefault="00C4204E" w:rsidP="00C4204E">
      <w:pPr>
        <w:tabs>
          <w:tab w:val="left" w:pos="142"/>
        </w:tabs>
        <w:spacing w:line="276" w:lineRule="auto"/>
        <w:jc w:val="both"/>
        <w:rPr>
          <w:rFonts w:asciiTheme="minorHAnsi" w:hAnsiTheme="minorHAnsi" w:cstheme="minorHAnsi"/>
          <w:b/>
          <w:bCs/>
          <w:color w:val="FF0000"/>
          <w:sz w:val="22"/>
          <w:szCs w:val="22"/>
        </w:rPr>
      </w:pPr>
    </w:p>
    <w:p w14:paraId="5A206E30" w14:textId="77777777" w:rsidR="00C4204E" w:rsidRPr="00B04520" w:rsidRDefault="00C4204E" w:rsidP="00C4204E">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29301B21" w14:textId="3189E4E3" w:rsidR="00C4204E" w:rsidRPr="00B04520" w:rsidRDefault="00C4204E" w:rsidP="00C4204E">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31527270-9  Platformy oświetleniowe</w:t>
      </w:r>
    </w:p>
    <w:p w14:paraId="358D85D9" w14:textId="5B0EDD7B" w:rsidR="00C4204E" w:rsidRPr="00744118" w:rsidRDefault="00C4204E" w:rsidP="00C4204E">
      <w:pPr>
        <w:tabs>
          <w:tab w:val="left" w:pos="142"/>
        </w:tabs>
        <w:spacing w:line="276" w:lineRule="auto"/>
        <w:jc w:val="both"/>
        <w:rPr>
          <w:rFonts w:asciiTheme="minorHAnsi" w:hAnsiTheme="minorHAnsi" w:cstheme="minorHAnsi"/>
          <w:b/>
          <w:bCs/>
          <w:sz w:val="22"/>
          <w:szCs w:val="22"/>
        </w:rPr>
      </w:pPr>
      <w:r>
        <w:rPr>
          <w:rFonts w:asciiTheme="minorHAnsi" w:hAnsiTheme="minorHAnsi" w:cstheme="minorHAnsi"/>
          <w:sz w:val="22"/>
          <w:szCs w:val="22"/>
        </w:rPr>
        <w:t>31527260 – 2 Systemy oświetleniowe</w:t>
      </w:r>
    </w:p>
    <w:p w14:paraId="1154ACE7" w14:textId="77777777" w:rsidR="00C4204E" w:rsidRPr="00C36114" w:rsidRDefault="00C4204E" w:rsidP="00C4204E">
      <w:pPr>
        <w:tabs>
          <w:tab w:val="left" w:pos="142"/>
        </w:tabs>
        <w:spacing w:line="276" w:lineRule="auto"/>
        <w:jc w:val="both"/>
        <w:rPr>
          <w:rFonts w:asciiTheme="minorHAnsi" w:hAnsiTheme="minorHAnsi" w:cstheme="minorHAnsi"/>
          <w:b/>
          <w:sz w:val="22"/>
          <w:szCs w:val="22"/>
        </w:rPr>
      </w:pPr>
    </w:p>
    <w:p w14:paraId="7879CFF0"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742B28F7" w14:textId="55E41F89"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r>
        <w:rPr>
          <w:rFonts w:asciiTheme="minorHAnsi" w:hAnsiTheme="minorHAnsi" w:cstheme="minorHAnsi"/>
          <w:b/>
          <w:bCs/>
          <w:i/>
          <w:sz w:val="22"/>
          <w:szCs w:val="22"/>
        </w:rPr>
        <w:t xml:space="preserve"> Zadanie </w:t>
      </w:r>
      <w:proofErr w:type="spellStart"/>
      <w:r>
        <w:rPr>
          <w:rFonts w:asciiTheme="minorHAnsi" w:hAnsiTheme="minorHAnsi" w:cstheme="minorHAnsi"/>
          <w:b/>
          <w:bCs/>
          <w:i/>
          <w:sz w:val="22"/>
          <w:szCs w:val="22"/>
        </w:rPr>
        <w:t>pn</w:t>
      </w:r>
      <w:proofErr w:type="spellEnd"/>
      <w:r>
        <w:rPr>
          <w:rFonts w:asciiTheme="minorHAnsi" w:hAnsiTheme="minorHAnsi" w:cstheme="minorHAnsi"/>
          <w:b/>
          <w:bCs/>
          <w:i/>
          <w:sz w:val="22"/>
          <w:szCs w:val="22"/>
        </w:rPr>
        <w:t xml:space="preserve">:”Zabezpieczenie logistyczne do realizacji zadań OL i OC na terenie Gminy Ślemień. </w:t>
      </w:r>
    </w:p>
    <w:p w14:paraId="36CF7275"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4F66CD8B" w14:textId="77777777" w:rsidR="00C4204E" w:rsidRPr="00D454A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35E81B93"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24769438"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7420FC8F" w14:textId="77777777" w:rsidR="00C4204E" w:rsidRPr="00FD67DC" w:rsidRDefault="00C4204E" w:rsidP="00C4204E">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1FCBF10E" w14:textId="2DDDA87F" w:rsidR="00C4204E" w:rsidRPr="00C4204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6DEB5F2E"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79AF5148" w14:textId="77777777" w:rsidR="00C4204E" w:rsidRPr="00DA3883"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55CE34CF" w14:textId="77777777" w:rsidR="00C4204E" w:rsidRPr="00DA3883"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62CCDA90" w14:textId="77777777" w:rsidR="00C4204E" w:rsidRPr="007D2BD1"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67E9BFB2" w14:textId="31B6A810"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w:t>
      </w:r>
      <w:r>
        <w:rPr>
          <w:rFonts w:asciiTheme="minorHAnsi" w:hAnsiTheme="minorHAnsi" w:cstheme="minorHAnsi"/>
          <w:color w:val="FF0000"/>
          <w:sz w:val="22"/>
          <w:szCs w:val="22"/>
        </w:rPr>
        <w:t>9</w:t>
      </w:r>
      <w:r w:rsidRPr="00D22D97">
        <w:rPr>
          <w:rFonts w:asciiTheme="minorHAnsi" w:hAnsiTheme="minorHAnsi" w:cstheme="minorHAnsi"/>
          <w:color w:val="FF0000"/>
          <w:sz w:val="22"/>
          <w:szCs w:val="22"/>
        </w:rPr>
        <w:t>.2025</w:t>
      </w:r>
      <w:r w:rsidRPr="00FD67DC">
        <w:rPr>
          <w:rFonts w:asciiTheme="minorHAnsi" w:hAnsiTheme="minorHAnsi" w:cstheme="minorHAnsi"/>
          <w:sz w:val="22"/>
          <w:szCs w:val="22"/>
        </w:rPr>
        <w:t>. Wykonawcy winni we wszystkich kontaktach z zamawiającym powoływać wyżej podane oznaczenie.</w:t>
      </w:r>
    </w:p>
    <w:p w14:paraId="0D6BF366" w14:textId="77777777" w:rsidR="00C4204E"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1653A78"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na podstawie art. 310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przewiduje unieważnienie postępowania, jeśli środki publiczne, które zamierzał przeznaczyć na sfinansowanie całości lub części zamówienia nie zostały przyznane.</w:t>
      </w:r>
    </w:p>
    <w:p w14:paraId="2380B9BB" w14:textId="77777777" w:rsidR="00C4204E" w:rsidRPr="00FD67DC" w:rsidRDefault="00C4204E" w:rsidP="00C4204E">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1C61EDE3"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73EFF038" w14:textId="77777777" w:rsidR="00C4204E" w:rsidRPr="00FD67DC" w:rsidRDefault="00C4204E" w:rsidP="00C4204E">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56DF993A"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5B06387C"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18B1D4E6"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79414BF3"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90BA5A8"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2EDF0BF4"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3DDA5506"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15 RODO prawo dostępu do danych osobowych Pani/Pana dotyczących;</w:t>
      </w:r>
    </w:p>
    <w:p w14:paraId="7BFCA8A8"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26DF414D"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5DD8DBA5" w14:textId="77777777" w:rsidR="00C4204E" w:rsidRPr="00FD67DC" w:rsidRDefault="00C4204E" w:rsidP="00C4204E">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636F3D61"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3D92966B"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3BA15B17"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3830617D" w14:textId="77777777" w:rsidR="00C4204E" w:rsidRPr="00FD67DC" w:rsidRDefault="00C4204E" w:rsidP="00C4204E">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3318D3F9"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5A88CFF2"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4D9E649C" w14:textId="77777777" w:rsidR="00C4204E" w:rsidRPr="00FD67DC" w:rsidRDefault="00C4204E" w:rsidP="00C4204E">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50868B83" w14:textId="77777777" w:rsidR="00C4204E" w:rsidRPr="00EE72F9" w:rsidRDefault="00C4204E" w:rsidP="00C4204E">
      <w:pPr>
        <w:spacing w:line="276" w:lineRule="auto"/>
        <w:jc w:val="both"/>
        <w:rPr>
          <w:sz w:val="22"/>
        </w:rPr>
      </w:pPr>
    </w:p>
    <w:p w14:paraId="54A30E6F" w14:textId="77777777" w:rsidR="00C4204E" w:rsidRPr="00BA1543"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0E6D9D1B" w14:textId="77777777" w:rsidR="00C4204E" w:rsidRPr="00BA1543" w:rsidRDefault="00C4204E" w:rsidP="00C4204E">
      <w:pPr>
        <w:spacing w:line="276" w:lineRule="auto"/>
        <w:rPr>
          <w:rFonts w:asciiTheme="minorHAnsi" w:hAnsiTheme="minorHAnsi" w:cstheme="minorHAnsi"/>
        </w:rPr>
      </w:pPr>
    </w:p>
    <w:p w14:paraId="1E30D40D" w14:textId="355BF411" w:rsidR="00C4204E" w:rsidRPr="00C4204E" w:rsidRDefault="00C4204E" w:rsidP="00C4204E">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sidRPr="00C4204E">
        <w:rPr>
          <w:rFonts w:asciiTheme="minorHAnsi" w:hAnsiTheme="minorHAnsi" w:cstheme="minorHAnsi"/>
          <w:b/>
          <w:bCs/>
          <w:i/>
          <w:iCs/>
          <w:sz w:val="22"/>
          <w:szCs w:val="22"/>
        </w:rPr>
        <w:t xml:space="preserve">„Zakup i dostawa </w:t>
      </w:r>
      <w:r w:rsidRPr="00C4204E">
        <w:rPr>
          <w:rFonts w:asciiTheme="minorHAnsi" w:hAnsiTheme="minorHAnsi" w:cstheme="minorHAnsi"/>
          <w:b/>
          <w:bCs/>
          <w:i/>
          <w:sz w:val="22"/>
          <w:szCs w:val="22"/>
        </w:rPr>
        <w:t xml:space="preserve">oświetlenia mobilnego – wieży oświetleniowej </w:t>
      </w:r>
      <w:r w:rsidRPr="00C4204E">
        <w:rPr>
          <w:rFonts w:asciiTheme="minorHAnsi" w:hAnsiTheme="minorHAnsi" w:cstheme="minorHAnsi"/>
          <w:b/>
          <w:bCs/>
          <w:i/>
          <w:iCs/>
          <w:sz w:val="22"/>
          <w:szCs w:val="22"/>
        </w:rPr>
        <w:t xml:space="preserve">w ramach Programu </w:t>
      </w:r>
      <w:r w:rsidRPr="00C4204E">
        <w:rPr>
          <w:rFonts w:asciiTheme="minorHAnsi" w:hAnsiTheme="minorHAnsi" w:cstheme="minorHAnsi"/>
          <w:b/>
          <w:bCs/>
          <w:i/>
          <w:sz w:val="22"/>
          <w:szCs w:val="22"/>
        </w:rPr>
        <w:t>Ochrony Ludności i Obrony Cywilnej.</w:t>
      </w:r>
      <w:r w:rsidRPr="00C4204E">
        <w:rPr>
          <w:rFonts w:asciiTheme="minorHAnsi" w:hAnsiTheme="minorHAnsi" w:cstheme="minorHAnsi"/>
          <w:b/>
          <w:bCs/>
          <w:i/>
          <w:iCs/>
          <w:sz w:val="22"/>
          <w:szCs w:val="22"/>
        </w:rPr>
        <w:t xml:space="preserve">” W ramach zadania </w:t>
      </w:r>
      <w:proofErr w:type="spellStart"/>
      <w:r w:rsidRPr="00C4204E">
        <w:rPr>
          <w:rFonts w:asciiTheme="minorHAnsi" w:hAnsiTheme="minorHAnsi" w:cstheme="minorHAnsi"/>
          <w:b/>
          <w:bCs/>
          <w:i/>
          <w:iCs/>
          <w:sz w:val="22"/>
          <w:szCs w:val="22"/>
        </w:rPr>
        <w:t>pn</w:t>
      </w:r>
      <w:proofErr w:type="spellEnd"/>
      <w:r w:rsidRPr="00C4204E">
        <w:rPr>
          <w:rFonts w:asciiTheme="minorHAnsi" w:hAnsiTheme="minorHAnsi" w:cstheme="minorHAnsi"/>
          <w:b/>
          <w:bCs/>
          <w:i/>
          <w:iCs/>
          <w:sz w:val="22"/>
          <w:szCs w:val="22"/>
        </w:rPr>
        <w:t xml:space="preserve">: „Zapewnienie </w:t>
      </w:r>
      <w:r w:rsidR="008D122D">
        <w:rPr>
          <w:rFonts w:asciiTheme="minorHAnsi" w:hAnsiTheme="minorHAnsi" w:cstheme="minorHAnsi"/>
          <w:b/>
          <w:bCs/>
          <w:i/>
          <w:iCs/>
          <w:sz w:val="22"/>
          <w:szCs w:val="22"/>
        </w:rPr>
        <w:t xml:space="preserve">logistyczne do realizacji zadań OL i OC na terenie Gminy Ślemień. </w:t>
      </w:r>
    </w:p>
    <w:p w14:paraId="5243B5E3" w14:textId="77777777" w:rsidR="00C4204E" w:rsidRDefault="00C4204E" w:rsidP="00C4204E">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0AA5A407" w14:textId="5B854FD3" w:rsidR="00C4204E" w:rsidRPr="002970D6" w:rsidRDefault="00C4204E" w:rsidP="00C4204E">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 xml:space="preserve">1 sztuki </w:t>
      </w:r>
      <w:r w:rsidRPr="00C4204E">
        <w:rPr>
          <w:rFonts w:asciiTheme="minorHAnsi" w:hAnsiTheme="minorHAnsi" w:cstheme="minorHAnsi"/>
          <w:b/>
          <w:bCs/>
          <w:i/>
          <w:sz w:val="22"/>
          <w:szCs w:val="22"/>
        </w:rPr>
        <w:t>oświetlenia mobilnego – wieży oświetleniowej</w:t>
      </w:r>
      <w:r>
        <w:rPr>
          <w:rFonts w:asciiTheme="minorHAnsi" w:hAnsiTheme="minorHAnsi" w:cstheme="minorHAnsi"/>
          <w:sz w:val="22"/>
          <w:szCs w:val="22"/>
        </w:rPr>
        <w:t>.</w:t>
      </w:r>
    </w:p>
    <w:p w14:paraId="0F925CDD" w14:textId="025D38A8" w:rsidR="00C4204E" w:rsidRDefault="00C4204E" w:rsidP="00C4204E">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w:t>
      </w:r>
      <w:r>
        <w:rPr>
          <w:rFonts w:asciiTheme="minorHAnsi" w:hAnsiTheme="minorHAnsi" w:cstheme="minorHAnsi"/>
          <w:sz w:val="22"/>
          <w:szCs w:val="22"/>
        </w:rPr>
        <w:t>1</w:t>
      </w:r>
      <w:r w:rsidRPr="007A6FA0">
        <w:rPr>
          <w:rFonts w:asciiTheme="minorHAnsi" w:hAnsiTheme="minorHAnsi" w:cstheme="minorHAnsi"/>
          <w:sz w:val="22"/>
          <w:szCs w:val="22"/>
        </w:rPr>
        <w:t xml:space="preserve"> szt</w:t>
      </w:r>
      <w:r>
        <w:rPr>
          <w:rFonts w:asciiTheme="minorHAnsi" w:hAnsiTheme="minorHAnsi" w:cstheme="minorHAnsi"/>
          <w:sz w:val="22"/>
          <w:szCs w:val="22"/>
        </w:rPr>
        <w:t>.</w:t>
      </w:r>
      <w:r w:rsidRPr="007A6FA0">
        <w:rPr>
          <w:rFonts w:asciiTheme="minorHAnsi" w:hAnsiTheme="minorHAnsi" w:cstheme="minorHAnsi"/>
          <w:sz w:val="22"/>
          <w:szCs w:val="22"/>
        </w:rPr>
        <w:t xml:space="preserve"> mobiln</w:t>
      </w:r>
      <w:r>
        <w:rPr>
          <w:rFonts w:asciiTheme="minorHAnsi" w:hAnsiTheme="minorHAnsi" w:cstheme="minorHAnsi"/>
          <w:sz w:val="22"/>
          <w:szCs w:val="22"/>
        </w:rPr>
        <w:t>ego oświetlenia – wieży oświetleniowej</w:t>
      </w:r>
      <w:r w:rsidRPr="007A6FA0">
        <w:rPr>
          <w:rFonts w:asciiTheme="minorHAnsi" w:hAnsiTheme="minorHAnsi" w:cstheme="minorHAnsi"/>
          <w:sz w:val="22"/>
          <w:szCs w:val="22"/>
        </w:rPr>
        <w:t xml:space="preserve"> fabrycznie now</w:t>
      </w:r>
      <w:r>
        <w:rPr>
          <w:rFonts w:asciiTheme="minorHAnsi" w:hAnsiTheme="minorHAnsi" w:cstheme="minorHAnsi"/>
          <w:sz w:val="22"/>
          <w:szCs w:val="22"/>
        </w:rPr>
        <w:t>ej</w:t>
      </w:r>
      <w:r w:rsidRPr="007A6FA0">
        <w:rPr>
          <w:rFonts w:asciiTheme="minorHAnsi" w:hAnsiTheme="minorHAnsi" w:cstheme="minorHAnsi"/>
          <w:sz w:val="22"/>
          <w:szCs w:val="22"/>
        </w:rPr>
        <w:t>, kompletn</w:t>
      </w:r>
      <w:r>
        <w:rPr>
          <w:rFonts w:asciiTheme="minorHAnsi" w:hAnsiTheme="minorHAnsi" w:cstheme="minorHAnsi"/>
          <w:sz w:val="22"/>
          <w:szCs w:val="22"/>
        </w:rPr>
        <w:t>ej</w:t>
      </w:r>
      <w:r w:rsidRPr="007A6FA0">
        <w:rPr>
          <w:rFonts w:asciiTheme="minorHAnsi" w:hAnsiTheme="minorHAnsi" w:cstheme="minorHAnsi"/>
          <w:sz w:val="22"/>
          <w:szCs w:val="22"/>
        </w:rPr>
        <w:t>, nieuszkodzon</w:t>
      </w:r>
      <w:r>
        <w:rPr>
          <w:rFonts w:asciiTheme="minorHAnsi" w:hAnsiTheme="minorHAnsi" w:cstheme="minorHAnsi"/>
          <w:sz w:val="22"/>
          <w:szCs w:val="22"/>
        </w:rPr>
        <w:t>ej</w:t>
      </w:r>
      <w:r w:rsidRPr="007A6FA0">
        <w:rPr>
          <w:rFonts w:asciiTheme="minorHAnsi" w:hAnsiTheme="minorHAnsi" w:cstheme="minorHAnsi"/>
          <w:sz w:val="22"/>
          <w:szCs w:val="22"/>
        </w:rPr>
        <w:t>, woln</w:t>
      </w:r>
      <w:r>
        <w:rPr>
          <w:rFonts w:asciiTheme="minorHAnsi" w:hAnsiTheme="minorHAnsi" w:cstheme="minorHAnsi"/>
          <w:sz w:val="22"/>
          <w:szCs w:val="22"/>
        </w:rPr>
        <w:t>ej</w:t>
      </w:r>
      <w:r w:rsidRPr="007A6FA0">
        <w:rPr>
          <w:rFonts w:asciiTheme="minorHAnsi" w:hAnsiTheme="minorHAnsi" w:cstheme="minorHAnsi"/>
          <w:sz w:val="22"/>
          <w:szCs w:val="22"/>
        </w:rPr>
        <w:t xml:space="preserve"> od wad konstrukcyjnych, materiałowych, wykonawczych i prawnych, spełniając</w:t>
      </w:r>
      <w:r>
        <w:rPr>
          <w:rFonts w:asciiTheme="minorHAnsi" w:hAnsiTheme="minorHAnsi" w:cstheme="minorHAnsi"/>
          <w:sz w:val="22"/>
          <w:szCs w:val="22"/>
        </w:rPr>
        <w:t>ej</w:t>
      </w:r>
      <w:r w:rsidRPr="007A6FA0">
        <w:rPr>
          <w:rFonts w:asciiTheme="minorHAnsi" w:hAnsiTheme="minorHAnsi" w:cstheme="minorHAnsi"/>
          <w:sz w:val="22"/>
          <w:szCs w:val="22"/>
        </w:rPr>
        <w:t xml:space="preserve">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7D014639" w14:textId="77777777" w:rsidR="00C4204E" w:rsidRPr="007A6FA0" w:rsidRDefault="00C4204E" w:rsidP="00C4204E">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t>3.Klauzula równoważności:</w:t>
      </w:r>
    </w:p>
    <w:p w14:paraId="34F004E6"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lastRenderedPageBreak/>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76F8BFB2"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3FDF0F31"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6B56AAA2"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technologia/systemy/urządzenia/materiały równoważne oceniane będą pod względem </w:t>
      </w:r>
      <w:r w:rsidRPr="007D2BD1">
        <w:rPr>
          <w:rFonts w:asciiTheme="minorHAnsi" w:hAnsiTheme="minorHAnsi" w:cstheme="minorHAnsi"/>
          <w:sz w:val="22"/>
          <w:szCs w:val="22"/>
        </w:rPr>
        <w:lastRenderedPageBreak/>
        <w:t>możliwości uzyskania określonych dla technologii/systemów/urządzeń/materiałów poziomu funkcjonalności, kosztów eksploatacji, niezawodności działania.</w:t>
      </w:r>
    </w:p>
    <w:p w14:paraId="76DCEEE7" w14:textId="77777777" w:rsidR="00C4204E" w:rsidRPr="007D2BD1"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14C5FD0C" w14:textId="77777777" w:rsidR="00C4204E" w:rsidRDefault="00C4204E" w:rsidP="00C4204E">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0A8962D8" w14:textId="77777777" w:rsidR="00C4204E" w:rsidRPr="00DB17B6" w:rsidRDefault="00C4204E" w:rsidP="00C4204E">
      <w:pPr>
        <w:pBdr>
          <w:top w:val="nil"/>
          <w:left w:val="nil"/>
          <w:bottom w:val="nil"/>
          <w:right w:val="nil"/>
          <w:between w:val="nil"/>
        </w:pBdr>
        <w:spacing w:line="276" w:lineRule="auto"/>
        <w:ind w:left="851"/>
        <w:jc w:val="both"/>
        <w:rPr>
          <w:rFonts w:asciiTheme="minorHAnsi" w:hAnsiTheme="minorHAnsi" w:cstheme="minorHAnsi"/>
          <w:sz w:val="22"/>
          <w:szCs w:val="22"/>
        </w:rPr>
      </w:pPr>
    </w:p>
    <w:p w14:paraId="53A1B5C2" w14:textId="77777777" w:rsidR="00C4204E" w:rsidRPr="00BA1543" w:rsidRDefault="00C4204E" w:rsidP="00C4204E">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7DC6C3A4" w14:textId="77777777" w:rsidR="00C4204E" w:rsidRPr="00DA3883" w:rsidRDefault="00C4204E" w:rsidP="00C4204E">
      <w:pPr>
        <w:autoSpaceDE w:val="0"/>
        <w:autoSpaceDN w:val="0"/>
        <w:spacing w:line="276" w:lineRule="auto"/>
        <w:jc w:val="both"/>
        <w:rPr>
          <w:rFonts w:asciiTheme="minorHAnsi" w:hAnsiTheme="minorHAnsi" w:cstheme="minorHAnsi"/>
          <w:sz w:val="22"/>
        </w:rPr>
      </w:pPr>
    </w:p>
    <w:p w14:paraId="4D4C678F" w14:textId="77777777" w:rsidR="00C4204E" w:rsidRPr="007A6FA0" w:rsidRDefault="00C4204E" w:rsidP="00C4204E">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072DB1E5" w14:textId="77777777" w:rsidR="00C4204E" w:rsidRPr="00DA3883" w:rsidRDefault="00C4204E" w:rsidP="00C4204E">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611E18C9" w14:textId="0F0CB32F" w:rsidR="00C4204E" w:rsidRPr="00DA3883" w:rsidRDefault="00C4204E" w:rsidP="00C4204E">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oświetlenie mobilne – wieżę oświetleniową  </w:t>
      </w:r>
      <w:r w:rsidRPr="00DA3883">
        <w:rPr>
          <w:rFonts w:asciiTheme="minorHAnsi" w:hAnsiTheme="minorHAnsi" w:cstheme="minorHAnsi"/>
          <w:bCs/>
          <w:sz w:val="22"/>
        </w:rPr>
        <w:t xml:space="preserve">wynosi nie mniej niż </w:t>
      </w:r>
      <w:r w:rsidR="008D122D">
        <w:rPr>
          <w:rFonts w:asciiTheme="minorHAnsi" w:hAnsiTheme="minorHAnsi" w:cstheme="minorHAnsi"/>
          <w:b/>
          <w:bCs/>
          <w:sz w:val="22"/>
        </w:rPr>
        <w:t>36</w:t>
      </w:r>
      <w:r w:rsidRPr="00DA3883">
        <w:rPr>
          <w:rFonts w:asciiTheme="minorHAnsi" w:hAnsiTheme="minorHAnsi" w:cstheme="minorHAnsi"/>
          <w:b/>
          <w:bCs/>
          <w:sz w:val="22"/>
        </w:rPr>
        <w:t xml:space="preserve"> miesi</w:t>
      </w:r>
      <w:r w:rsidR="008D122D">
        <w:rPr>
          <w:rFonts w:asciiTheme="minorHAnsi" w:hAnsiTheme="minorHAnsi" w:cstheme="minorHAnsi"/>
          <w:b/>
          <w:bCs/>
          <w:sz w:val="22"/>
        </w:rPr>
        <w:t>ęcy</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5AA9C730" w14:textId="1733C2D5" w:rsidR="00C4204E" w:rsidRPr="00DA3883" w:rsidRDefault="00C4204E" w:rsidP="00C4204E">
      <w:pPr>
        <w:tabs>
          <w:tab w:val="num" w:pos="426"/>
        </w:tabs>
        <w:autoSpaceDE w:val="0"/>
        <w:autoSpaceDN w:val="0"/>
        <w:spacing w:line="276" w:lineRule="auto"/>
        <w:ind w:left="426" w:hanging="426"/>
        <w:jc w:val="both"/>
        <w:rPr>
          <w:rFonts w:asciiTheme="minorHAnsi" w:hAnsiTheme="minorHAnsi" w:cstheme="minorHAnsi"/>
          <w:bCs/>
          <w:sz w:val="22"/>
        </w:rPr>
      </w:pPr>
      <w:r>
        <w:rPr>
          <w:rFonts w:asciiTheme="minorHAnsi" w:hAnsiTheme="minorHAnsi" w:cstheme="minorHAnsi"/>
          <w:bCs/>
          <w:sz w:val="22"/>
        </w:rPr>
        <w:t>4</w:t>
      </w:r>
      <w:r w:rsidRPr="00DA3883">
        <w:rPr>
          <w:rFonts w:asciiTheme="minorHAnsi" w:hAnsiTheme="minorHAnsi" w:cstheme="minorHAnsi"/>
          <w:bCs/>
          <w:sz w:val="22"/>
        </w:rPr>
        <w:t>.</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3E4B530E" w14:textId="77777777" w:rsidR="00C4204E" w:rsidRPr="00EE72F9" w:rsidRDefault="00C4204E" w:rsidP="00C4204E">
      <w:pPr>
        <w:tabs>
          <w:tab w:val="num" w:pos="426"/>
        </w:tabs>
        <w:autoSpaceDE w:val="0"/>
        <w:autoSpaceDN w:val="0"/>
        <w:spacing w:line="276" w:lineRule="auto"/>
        <w:ind w:left="426" w:hanging="426"/>
        <w:jc w:val="both"/>
        <w:rPr>
          <w:bCs/>
          <w:sz w:val="22"/>
        </w:rPr>
      </w:pPr>
    </w:p>
    <w:p w14:paraId="6ABE1906"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19D2EC53"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4BC0EA44" w14:textId="77777777" w:rsidR="00C4204E" w:rsidRPr="00050B26"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42E822CC" w14:textId="77777777" w:rsidR="00C4204E" w:rsidRPr="00050B26" w:rsidRDefault="00C4204E" w:rsidP="00C4204E">
      <w:pPr>
        <w:pStyle w:val="Tekstpodstawowy"/>
        <w:tabs>
          <w:tab w:val="clear" w:pos="142"/>
        </w:tabs>
        <w:spacing w:line="276" w:lineRule="auto"/>
        <w:ind w:left="426"/>
        <w:rPr>
          <w:rFonts w:asciiTheme="minorHAnsi" w:hAnsiTheme="minorHAnsi" w:cstheme="minorHAnsi"/>
          <w:b/>
          <w:sz w:val="22"/>
          <w:szCs w:val="22"/>
        </w:rPr>
      </w:pPr>
    </w:p>
    <w:p w14:paraId="5E8BBBC2" w14:textId="77777777" w:rsidR="00C4204E" w:rsidRPr="00050B26" w:rsidRDefault="00C4204E" w:rsidP="00C4204E">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2C4C55C6" w14:textId="77777777" w:rsidR="00C4204E" w:rsidRPr="00050B26" w:rsidRDefault="00C4204E" w:rsidP="00A53F1D">
      <w:pPr>
        <w:spacing w:line="276" w:lineRule="auto"/>
        <w:jc w:val="both"/>
        <w:rPr>
          <w:rFonts w:asciiTheme="minorHAnsi" w:hAnsiTheme="minorHAnsi" w:cstheme="minorHAnsi"/>
          <w:sz w:val="22"/>
          <w:szCs w:val="22"/>
        </w:rPr>
      </w:pPr>
    </w:p>
    <w:p w14:paraId="078344E8"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51F71FB1" w14:textId="77777777" w:rsidR="00C4204E" w:rsidRPr="00050B26" w:rsidRDefault="00C4204E" w:rsidP="00C4204E">
      <w:pPr>
        <w:spacing w:line="276" w:lineRule="auto"/>
        <w:ind w:left="851"/>
        <w:jc w:val="both"/>
        <w:rPr>
          <w:rFonts w:asciiTheme="minorHAnsi" w:hAnsiTheme="minorHAnsi" w:cstheme="minorHAnsi"/>
          <w:sz w:val="22"/>
          <w:szCs w:val="22"/>
        </w:rPr>
      </w:pPr>
    </w:p>
    <w:p w14:paraId="1087B7F9"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41A989CC"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01835BF"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w:t>
      </w:r>
      <w:r w:rsidRPr="00050B26">
        <w:rPr>
          <w:rFonts w:asciiTheme="minorHAnsi" w:hAnsiTheme="minorHAnsi" w:cstheme="minorHAnsi"/>
          <w:sz w:val="22"/>
          <w:szCs w:val="22"/>
        </w:rPr>
        <w:lastRenderedPageBreak/>
        <w:t>r., o ile została wpisana na listę na podstawie decyzji w sprawie wpisu na listę rozstrzygającej o zastosowaniu środka, o którym mowa w art. 1 pkt 3 tej ustawy;</w:t>
      </w:r>
    </w:p>
    <w:p w14:paraId="5BD2A3AC" w14:textId="77777777" w:rsidR="00C4204E" w:rsidRPr="00050B26" w:rsidRDefault="00C4204E" w:rsidP="00C4204E">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ADDDBAB"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6C411552" w14:textId="77777777" w:rsidR="00C4204E" w:rsidRPr="00050B26" w:rsidRDefault="00C4204E" w:rsidP="00C4204E">
      <w:pPr>
        <w:spacing w:line="276" w:lineRule="auto"/>
        <w:ind w:left="851"/>
        <w:jc w:val="both"/>
        <w:rPr>
          <w:rFonts w:asciiTheme="minorHAnsi" w:hAnsiTheme="minorHAnsi" w:cstheme="minorHAnsi"/>
          <w:sz w:val="22"/>
          <w:szCs w:val="22"/>
        </w:rPr>
      </w:pPr>
    </w:p>
    <w:p w14:paraId="17DBE1B4" w14:textId="77777777" w:rsidR="00C4204E" w:rsidRPr="00050B26" w:rsidRDefault="00C4204E" w:rsidP="00C4204E">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696E740E" w14:textId="77777777" w:rsidR="00C4204E" w:rsidRPr="00050B26" w:rsidRDefault="00C4204E" w:rsidP="00C4204E">
      <w:pPr>
        <w:spacing w:line="276" w:lineRule="auto"/>
        <w:ind w:left="851"/>
        <w:jc w:val="both"/>
        <w:rPr>
          <w:rFonts w:asciiTheme="minorHAnsi" w:hAnsiTheme="minorHAnsi" w:cstheme="minorHAnsi"/>
          <w:bCs/>
          <w:sz w:val="22"/>
          <w:szCs w:val="22"/>
        </w:rPr>
      </w:pPr>
    </w:p>
    <w:p w14:paraId="4D6729BB" w14:textId="77777777" w:rsidR="00C4204E" w:rsidRPr="00050B26" w:rsidRDefault="00C4204E" w:rsidP="00C4204E">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09B8D350" w14:textId="77777777" w:rsidR="00C4204E" w:rsidRPr="00050B26" w:rsidRDefault="00C4204E" w:rsidP="00C4204E">
      <w:pPr>
        <w:pStyle w:val="Akapitzlist"/>
        <w:spacing w:line="276" w:lineRule="auto"/>
        <w:ind w:left="0"/>
        <w:rPr>
          <w:rFonts w:asciiTheme="minorHAnsi" w:hAnsiTheme="minorHAnsi" w:cstheme="minorHAnsi"/>
          <w:sz w:val="22"/>
          <w:szCs w:val="22"/>
        </w:rPr>
      </w:pPr>
    </w:p>
    <w:p w14:paraId="128F5884"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20437920"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78FBD3EE"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6FFE3C28"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756BD8D"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p>
    <w:p w14:paraId="25B276CF"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4A849999"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53F9B571"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2DB28CE3"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35D3BC54"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Cs/>
          <w:sz w:val="22"/>
          <w:szCs w:val="22"/>
        </w:rPr>
      </w:pPr>
    </w:p>
    <w:p w14:paraId="16ECB085"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113C952B" w14:textId="77777777" w:rsidR="00C4204E" w:rsidRPr="00050B26" w:rsidRDefault="00C4204E" w:rsidP="00C4204E">
      <w:pPr>
        <w:pStyle w:val="Tekstpodstawowy"/>
        <w:tabs>
          <w:tab w:val="clear" w:pos="142"/>
        </w:tabs>
        <w:spacing w:line="276" w:lineRule="auto"/>
        <w:ind w:left="1276" w:hanging="425"/>
        <w:rPr>
          <w:rFonts w:asciiTheme="minorHAnsi" w:hAnsiTheme="minorHAnsi" w:cstheme="minorHAnsi"/>
          <w:b/>
          <w:sz w:val="22"/>
          <w:szCs w:val="22"/>
        </w:rPr>
      </w:pPr>
    </w:p>
    <w:p w14:paraId="35DB8157"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
          <w:sz w:val="22"/>
          <w:szCs w:val="22"/>
        </w:rPr>
      </w:pPr>
    </w:p>
    <w:p w14:paraId="40FDC5B1" w14:textId="77777777" w:rsidR="00C4204E" w:rsidRPr="00050B26" w:rsidRDefault="00C4204E" w:rsidP="00C4204E">
      <w:pPr>
        <w:pStyle w:val="Tekstpodstawowy"/>
        <w:tabs>
          <w:tab w:val="clear" w:pos="142"/>
        </w:tabs>
        <w:spacing w:line="276" w:lineRule="auto"/>
        <w:ind w:left="1276"/>
        <w:rPr>
          <w:rFonts w:asciiTheme="minorHAnsi" w:hAnsiTheme="minorHAnsi" w:cstheme="minorHAnsi"/>
          <w:b/>
          <w:bCs/>
          <w:sz w:val="22"/>
          <w:szCs w:val="22"/>
        </w:rPr>
      </w:pPr>
      <w:r w:rsidRPr="00050B26">
        <w:rPr>
          <w:rFonts w:asciiTheme="minorHAnsi" w:hAnsiTheme="minorHAnsi" w:cstheme="minorHAnsi"/>
          <w:bCs/>
          <w:sz w:val="22"/>
          <w:szCs w:val="22"/>
        </w:rPr>
        <w:t>Zamawiający nie precyzuje w tym zakresie szczegółowych warunków.</w:t>
      </w:r>
    </w:p>
    <w:p w14:paraId="6295DE08" w14:textId="77777777" w:rsidR="00C4204E" w:rsidRPr="00050B26" w:rsidRDefault="00C4204E" w:rsidP="00C4204E">
      <w:pPr>
        <w:pStyle w:val="Tekstpodstawowy"/>
        <w:tabs>
          <w:tab w:val="clear" w:pos="142"/>
        </w:tabs>
        <w:ind w:left="1276"/>
        <w:rPr>
          <w:rFonts w:asciiTheme="minorHAnsi" w:hAnsiTheme="minorHAnsi" w:cstheme="minorHAnsi"/>
          <w:b/>
          <w:bCs/>
          <w:sz w:val="22"/>
          <w:szCs w:val="22"/>
        </w:rPr>
      </w:pPr>
    </w:p>
    <w:p w14:paraId="2A73C4BB" w14:textId="77777777" w:rsidR="00C4204E" w:rsidRPr="00050B26" w:rsidRDefault="00C4204E" w:rsidP="00C4204E">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364EFC05"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0F272D9A" w14:textId="77777777" w:rsidR="00C4204E" w:rsidRPr="00050B26" w:rsidRDefault="00C4204E" w:rsidP="00C4204E">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6D0D21FE" w14:textId="77777777" w:rsidR="00C4204E" w:rsidRPr="00050B26" w:rsidRDefault="00C4204E" w:rsidP="00C4204E">
      <w:pPr>
        <w:pStyle w:val="Tekstpodstawowy"/>
        <w:spacing w:line="276" w:lineRule="auto"/>
        <w:ind w:left="2138"/>
        <w:rPr>
          <w:rFonts w:asciiTheme="minorHAnsi" w:hAnsiTheme="minorHAnsi" w:cstheme="minorHAnsi"/>
          <w:kern w:val="3"/>
          <w:sz w:val="22"/>
          <w:szCs w:val="22"/>
          <w:lang w:eastAsia="ar-SA"/>
        </w:rPr>
      </w:pPr>
    </w:p>
    <w:p w14:paraId="2BDDFE31" w14:textId="19882FE2" w:rsidR="00C4204E" w:rsidRPr="007A6FA0" w:rsidRDefault="00C4204E" w:rsidP="00C4204E">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lastRenderedPageBreak/>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w:t>
      </w:r>
      <w:r w:rsidR="003113FA">
        <w:rPr>
          <w:rFonts w:asciiTheme="minorHAnsi" w:hAnsiTheme="minorHAnsi" w:cstheme="minorHAnsi"/>
          <w:kern w:val="3"/>
          <w:sz w:val="22"/>
          <w:szCs w:val="22"/>
          <w:lang w:eastAsia="ar-SA"/>
        </w:rPr>
        <w:t>mobilnego oświetlenia</w:t>
      </w:r>
      <w:r>
        <w:rPr>
          <w:rFonts w:asciiTheme="minorHAnsi" w:hAnsiTheme="minorHAnsi" w:cstheme="minorHAnsi"/>
          <w:kern w:val="3"/>
          <w:sz w:val="22"/>
          <w:szCs w:val="22"/>
          <w:lang w:eastAsia="ar-SA"/>
        </w:rPr>
        <w:t xml:space="preserve">, a wartość tego sprzętu wyniosła </w:t>
      </w:r>
      <w:r>
        <w:rPr>
          <w:rFonts w:asciiTheme="minorHAnsi" w:hAnsiTheme="minorHAnsi" w:cstheme="minorHAnsi"/>
          <w:b/>
          <w:bCs/>
          <w:kern w:val="3"/>
          <w:sz w:val="22"/>
          <w:szCs w:val="22"/>
          <w:lang w:eastAsia="ar-SA"/>
        </w:rPr>
        <w:t xml:space="preserve">nie mniej niż </w:t>
      </w:r>
      <w:r w:rsidR="003113FA">
        <w:rPr>
          <w:rFonts w:asciiTheme="minorHAnsi" w:hAnsiTheme="minorHAnsi" w:cstheme="minorHAnsi"/>
          <w:b/>
          <w:bCs/>
          <w:kern w:val="3"/>
          <w:sz w:val="22"/>
          <w:szCs w:val="22"/>
          <w:lang w:eastAsia="ar-SA"/>
        </w:rPr>
        <w:t>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7E6D6D72" w14:textId="77777777" w:rsidR="00C4204E" w:rsidRPr="00050B26" w:rsidRDefault="00C4204E" w:rsidP="00C4204E">
      <w:pPr>
        <w:tabs>
          <w:tab w:val="left" w:pos="142"/>
        </w:tabs>
        <w:spacing w:line="276" w:lineRule="auto"/>
        <w:jc w:val="both"/>
        <w:rPr>
          <w:rFonts w:asciiTheme="minorHAnsi" w:hAnsiTheme="minorHAnsi" w:cstheme="minorHAnsi"/>
          <w:sz w:val="22"/>
          <w:szCs w:val="22"/>
        </w:rPr>
      </w:pPr>
    </w:p>
    <w:p w14:paraId="470CB1D7" w14:textId="77777777" w:rsidR="00C4204E" w:rsidRPr="00050B26" w:rsidRDefault="00C4204E" w:rsidP="00C4204E">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4D0F4FA9" w14:textId="77777777" w:rsidR="00C4204E" w:rsidRPr="00050B26" w:rsidRDefault="00C4204E" w:rsidP="00C4204E">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F6FD5F7"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6070612F"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524D3CF6"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82890FD"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474F4221"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A8CE85"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50798AF"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1F795FA5"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0E571044"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3D17B394" w14:textId="77777777" w:rsidR="00C4204E" w:rsidRPr="00F66F4E" w:rsidRDefault="00C4204E" w:rsidP="00C4204E">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51511B6B"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t>
      </w:r>
      <w:r w:rsidRPr="00F66F4E">
        <w:rPr>
          <w:rFonts w:asciiTheme="minorHAnsi" w:hAnsiTheme="minorHAnsi" w:cstheme="minorHAnsi"/>
          <w:sz w:val="22"/>
          <w:szCs w:val="22"/>
        </w:rPr>
        <w:lastRenderedPageBreak/>
        <w:t xml:space="preserve">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2F95ABDE"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BEF2EE1"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1E62F4D"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B17457"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50C8FF80" w14:textId="77777777" w:rsidR="00C4204E" w:rsidRPr="00F66F4E" w:rsidRDefault="00C4204E" w:rsidP="00C4204E">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49FEBFCB" w14:textId="77777777" w:rsidR="00C4204E" w:rsidRPr="00F66F4E" w:rsidRDefault="00C4204E" w:rsidP="00C420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4D10B6F9" w14:textId="77777777" w:rsidR="00C4204E" w:rsidRPr="00F66F4E" w:rsidRDefault="00C4204E" w:rsidP="00C4204E">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15483B56" w14:textId="77777777" w:rsidR="00C4204E" w:rsidRPr="00F66F4E" w:rsidRDefault="00C4204E" w:rsidP="00C4204E">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0F1913A8" w14:textId="77777777" w:rsidR="00C4204E" w:rsidRPr="00F66F4E" w:rsidRDefault="00C4204E" w:rsidP="00C4204E">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5013DD76" w14:textId="77777777" w:rsidR="00C4204E" w:rsidRPr="00050B26" w:rsidRDefault="00C4204E" w:rsidP="00C4204E">
      <w:pPr>
        <w:pStyle w:val="Tekstpodstawowy"/>
        <w:tabs>
          <w:tab w:val="clear" w:pos="142"/>
        </w:tabs>
        <w:spacing w:line="276" w:lineRule="auto"/>
        <w:rPr>
          <w:rFonts w:asciiTheme="minorHAnsi" w:hAnsiTheme="minorHAnsi" w:cstheme="minorHAnsi"/>
          <w:sz w:val="22"/>
          <w:szCs w:val="22"/>
        </w:rPr>
      </w:pPr>
    </w:p>
    <w:p w14:paraId="2523D202" w14:textId="77777777" w:rsidR="00C4204E" w:rsidRPr="00050B26" w:rsidRDefault="00C4204E" w:rsidP="00C4204E">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6A3C5DE8" w14:textId="77777777" w:rsidR="00C4204E" w:rsidRPr="00050B26" w:rsidRDefault="00C4204E" w:rsidP="00C4204E">
      <w:pPr>
        <w:tabs>
          <w:tab w:val="left" w:pos="567"/>
        </w:tabs>
        <w:spacing w:line="276" w:lineRule="auto"/>
        <w:jc w:val="both"/>
        <w:rPr>
          <w:rFonts w:asciiTheme="minorHAnsi" w:hAnsiTheme="minorHAnsi" w:cstheme="minorHAnsi"/>
          <w:color w:val="FF0000"/>
          <w:sz w:val="22"/>
          <w:szCs w:val="22"/>
        </w:rPr>
      </w:pPr>
    </w:p>
    <w:p w14:paraId="28EB7C8D" w14:textId="77777777" w:rsidR="00C4204E" w:rsidRPr="00EA1D6C" w:rsidRDefault="00C4204E" w:rsidP="00C4204E">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6D15FCF2"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Oświadczenia, o których mowa w ust. poprzednim należy złożyć, pod rygorem nieważności, w formie elektronicznej, tj. w postaci elektronicznej opatrzonej kwalifikowanym podpisem elektronicznym lub postaci elektronicznej opatrzonej podpisem zaufanym lub podpisem osobistym.</w:t>
      </w:r>
    </w:p>
    <w:p w14:paraId="7F95B3F1"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xml:space="preserve">. Oświadczenia te potwierdzają brak podstaw wykluczenia oraz spełnianie </w:t>
      </w:r>
      <w:r w:rsidRPr="00050B26">
        <w:rPr>
          <w:rFonts w:asciiTheme="minorHAnsi" w:eastAsia="Arial" w:hAnsiTheme="minorHAnsi" w:cstheme="minorHAnsi"/>
          <w:sz w:val="22"/>
          <w:szCs w:val="22"/>
        </w:rPr>
        <w:lastRenderedPageBreak/>
        <w:t>warunków udziału w postępowaniu w zakresie, w jakim każdy w wykonawców wykazuje spełnianie warunków udziału w postępowaniu.</w:t>
      </w:r>
    </w:p>
    <w:p w14:paraId="2D251146"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0214737D" w14:textId="77777777" w:rsidR="00C4204E" w:rsidRPr="00050B26" w:rsidRDefault="00C4204E" w:rsidP="00C4204E">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659F39B5" w14:textId="77777777" w:rsidR="00C4204E" w:rsidRPr="00050B26" w:rsidRDefault="00C4204E" w:rsidP="00C4204E">
      <w:pPr>
        <w:tabs>
          <w:tab w:val="left" w:pos="567"/>
        </w:tabs>
        <w:spacing w:line="276" w:lineRule="auto"/>
        <w:jc w:val="both"/>
        <w:rPr>
          <w:rFonts w:asciiTheme="minorHAnsi" w:hAnsiTheme="minorHAnsi" w:cstheme="minorHAnsi"/>
          <w:color w:val="FF0000"/>
          <w:sz w:val="22"/>
          <w:szCs w:val="22"/>
        </w:rPr>
      </w:pPr>
    </w:p>
    <w:p w14:paraId="2875B08C" w14:textId="77777777" w:rsidR="00C4204E" w:rsidRPr="00050B26" w:rsidRDefault="00C4204E" w:rsidP="00C4204E">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4602A288" w14:textId="77777777" w:rsidR="00C4204E" w:rsidRPr="00050B26" w:rsidRDefault="00C4204E" w:rsidP="00C4204E">
      <w:pPr>
        <w:widowControl w:val="0"/>
        <w:tabs>
          <w:tab w:val="left" w:pos="609"/>
        </w:tabs>
        <w:spacing w:line="276" w:lineRule="auto"/>
        <w:ind w:right="151"/>
        <w:jc w:val="both"/>
        <w:rPr>
          <w:rFonts w:asciiTheme="minorHAnsi" w:eastAsia="Arial" w:hAnsiTheme="minorHAnsi" w:cstheme="minorHAnsi"/>
          <w:b/>
          <w:sz w:val="22"/>
          <w:szCs w:val="22"/>
        </w:rPr>
      </w:pPr>
    </w:p>
    <w:p w14:paraId="6E2213AB" w14:textId="77777777" w:rsidR="00C4204E" w:rsidRPr="00050B26" w:rsidRDefault="00C4204E" w:rsidP="00C4204E">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2C598647" w14:textId="77777777" w:rsidR="00C4204E" w:rsidRPr="00050B26" w:rsidRDefault="00C4204E" w:rsidP="00C4204E">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01810EB7" w14:textId="77777777" w:rsidR="00C4204E" w:rsidRPr="00050B26" w:rsidRDefault="00C4204E" w:rsidP="00C4204E">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4F1E2971" w14:textId="77777777" w:rsidR="00C4204E" w:rsidRPr="00050B26" w:rsidRDefault="00C4204E" w:rsidP="00C4204E">
      <w:pPr>
        <w:widowControl w:val="0"/>
        <w:tabs>
          <w:tab w:val="left" w:pos="609"/>
        </w:tabs>
        <w:spacing w:line="276" w:lineRule="auto"/>
        <w:ind w:right="151"/>
        <w:jc w:val="both"/>
        <w:rPr>
          <w:rFonts w:asciiTheme="minorHAnsi" w:eastAsia="Arial" w:hAnsiTheme="minorHAnsi" w:cstheme="minorHAnsi"/>
          <w:sz w:val="22"/>
          <w:szCs w:val="22"/>
        </w:rPr>
      </w:pPr>
    </w:p>
    <w:p w14:paraId="5328BF46" w14:textId="77777777" w:rsidR="00C4204E" w:rsidRPr="00050B26" w:rsidRDefault="00C4204E" w:rsidP="00C4204E">
      <w:pPr>
        <w:spacing w:line="276" w:lineRule="auto"/>
        <w:rPr>
          <w:rFonts w:asciiTheme="minorHAnsi" w:hAnsiTheme="minorHAnsi" w:cstheme="minorHAnsi"/>
          <w:sz w:val="22"/>
          <w:szCs w:val="22"/>
        </w:rPr>
      </w:pPr>
    </w:p>
    <w:p w14:paraId="5D3EC2F5"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4BCA2BBC"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25FCB95E"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6B601E77"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Pełnomocnictwo winno być udzielone przez osobę uprawnioną do </w:t>
      </w:r>
      <w:r w:rsidRPr="00050B26">
        <w:rPr>
          <w:rFonts w:asciiTheme="minorHAnsi" w:hAnsiTheme="minorHAnsi" w:cstheme="minorHAnsi"/>
          <w:sz w:val="22"/>
          <w:szCs w:val="22"/>
        </w:rPr>
        <w:lastRenderedPageBreak/>
        <w:t>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617DBAD5"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2F75641B" w14:textId="77777777" w:rsidR="00C4204E" w:rsidRPr="00050B26" w:rsidRDefault="00C4204E" w:rsidP="00C4204E">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458E3AC6"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7C718509"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2A099292" w14:textId="77777777" w:rsidR="00C4204E" w:rsidRPr="00050B26" w:rsidRDefault="00C4204E" w:rsidP="00C4204E">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4C48BEE2" w14:textId="77777777" w:rsidR="00C4204E" w:rsidRPr="00050B26" w:rsidRDefault="00C4204E" w:rsidP="00C4204E">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1DCFC7C2" w14:textId="77777777" w:rsidR="00C4204E" w:rsidRPr="00050B26" w:rsidRDefault="00C4204E" w:rsidP="00C4204E">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472F2748" w14:textId="77777777" w:rsidR="00C4204E" w:rsidRPr="00050B26" w:rsidRDefault="00C4204E" w:rsidP="00C4204E">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7702CBC5" w14:textId="77777777" w:rsidR="00C4204E" w:rsidRPr="00050B26" w:rsidRDefault="00C4204E" w:rsidP="00C4204E">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415043DF" w14:textId="77777777" w:rsidR="00C4204E" w:rsidRPr="00050B26" w:rsidRDefault="00C4204E" w:rsidP="00C4204E">
      <w:pPr>
        <w:spacing w:line="276" w:lineRule="auto"/>
        <w:jc w:val="both"/>
        <w:rPr>
          <w:rFonts w:asciiTheme="minorHAnsi" w:hAnsiTheme="minorHAnsi" w:cstheme="minorHAnsi"/>
          <w:color w:val="FF0000"/>
          <w:sz w:val="22"/>
          <w:szCs w:val="22"/>
        </w:rPr>
      </w:pPr>
    </w:p>
    <w:p w14:paraId="3F488CDE" w14:textId="77777777" w:rsidR="00C4204E" w:rsidRPr="00050B26" w:rsidRDefault="00C4204E" w:rsidP="00C4204E">
      <w:pPr>
        <w:spacing w:line="276" w:lineRule="auto"/>
        <w:jc w:val="both"/>
        <w:rPr>
          <w:rFonts w:asciiTheme="minorHAnsi" w:hAnsiTheme="minorHAnsi" w:cstheme="minorHAnsi"/>
          <w:b/>
          <w:i/>
          <w:color w:val="FF0000"/>
          <w:sz w:val="22"/>
          <w:szCs w:val="22"/>
        </w:rPr>
      </w:pPr>
    </w:p>
    <w:p w14:paraId="5D50E5BB"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038A22E9" w14:textId="77777777" w:rsidR="00C4204E" w:rsidRPr="00050B26" w:rsidRDefault="00C4204E" w:rsidP="00C4204E">
      <w:pPr>
        <w:spacing w:line="276" w:lineRule="auto"/>
        <w:rPr>
          <w:rFonts w:asciiTheme="minorHAnsi" w:hAnsiTheme="minorHAnsi" w:cstheme="minorHAnsi"/>
          <w:sz w:val="22"/>
          <w:szCs w:val="22"/>
        </w:rPr>
      </w:pPr>
    </w:p>
    <w:p w14:paraId="6569EE4D" w14:textId="77777777" w:rsidR="00C4204E" w:rsidRDefault="00C4204E" w:rsidP="00C4204E">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2BE7FFE0" w14:textId="77777777" w:rsidR="00C4204E" w:rsidRPr="00050B26" w:rsidRDefault="00C4204E" w:rsidP="00C4204E">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7E501089" w14:textId="77777777" w:rsidR="00C4204E" w:rsidRPr="00050B26" w:rsidRDefault="00C4204E" w:rsidP="00C4204E">
      <w:pPr>
        <w:spacing w:line="276" w:lineRule="auto"/>
        <w:ind w:left="1418" w:hanging="1418"/>
        <w:jc w:val="both"/>
        <w:rPr>
          <w:rFonts w:asciiTheme="minorHAnsi" w:hAnsiTheme="minorHAnsi" w:cstheme="minorHAnsi"/>
          <w:i/>
          <w:sz w:val="22"/>
          <w:szCs w:val="22"/>
        </w:rPr>
      </w:pPr>
    </w:p>
    <w:p w14:paraId="609741A4"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25BE23BF" w14:textId="77777777" w:rsidR="00C4204E" w:rsidRPr="004F51F4"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0A6E10D6" w14:textId="77777777" w:rsidR="00C4204E" w:rsidRPr="004F51F4" w:rsidRDefault="00C4204E" w:rsidP="00C4204E">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3B8888EE" w14:textId="77777777" w:rsidR="00C4204E" w:rsidRPr="004F51F4"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7FF9EC39" w14:textId="77777777" w:rsidR="00C4204E" w:rsidRPr="00AD718F" w:rsidRDefault="00C4204E" w:rsidP="00C4204E">
      <w:pPr>
        <w:spacing w:line="276" w:lineRule="auto"/>
        <w:ind w:left="360"/>
        <w:jc w:val="both"/>
        <w:rPr>
          <w:rFonts w:asciiTheme="minorHAnsi" w:hAnsiTheme="minorHAnsi" w:cstheme="minorHAnsi"/>
          <w:b/>
          <w:bCs/>
          <w:sz w:val="22"/>
        </w:rPr>
      </w:pPr>
      <w:r>
        <w:rPr>
          <w:rFonts w:asciiTheme="minorHAnsi" w:hAnsiTheme="minorHAnsi" w:cstheme="minorHAnsi"/>
          <w:b/>
          <w:bCs/>
          <w:sz w:val="22"/>
        </w:rPr>
        <w:lastRenderedPageBreak/>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31E837C6" w14:textId="77777777" w:rsidR="00C4204E" w:rsidRPr="00AD718F"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34B08484" w14:textId="77777777" w:rsidR="00C4204E" w:rsidRPr="00ED265B" w:rsidRDefault="00C4204E" w:rsidP="00C4204E">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2D890C5" w14:textId="77777777" w:rsidR="00C4204E" w:rsidRPr="00050B26" w:rsidRDefault="00C4204E" w:rsidP="00C4204E">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7936C714" w14:textId="77777777" w:rsidR="00C4204E" w:rsidRPr="00050B26" w:rsidRDefault="00C4204E" w:rsidP="00C4204E">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458051A9" w14:textId="77777777" w:rsidR="00C4204E"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66C9A2EC"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07C3277"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17A8ED4E"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46A4764B" w14:textId="77777777" w:rsidR="00C4204E" w:rsidRPr="0003400D" w:rsidRDefault="00C4204E" w:rsidP="00C4204E">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E5AF47D"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2621FB2"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966EA06"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3C2CB37C"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9EE6495" w14:textId="77777777" w:rsidR="00C4204E" w:rsidRPr="0003400D" w:rsidRDefault="00C4204E" w:rsidP="00C4204E">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69955502" w14:textId="77777777" w:rsidR="00C4204E" w:rsidRPr="00050B26" w:rsidRDefault="00C4204E" w:rsidP="00C4204E">
      <w:pPr>
        <w:spacing w:line="276" w:lineRule="auto"/>
        <w:jc w:val="both"/>
        <w:rPr>
          <w:rFonts w:asciiTheme="minorHAnsi" w:hAnsiTheme="minorHAnsi" w:cstheme="minorHAnsi"/>
          <w:sz w:val="22"/>
          <w:szCs w:val="22"/>
        </w:rPr>
      </w:pPr>
    </w:p>
    <w:p w14:paraId="20EB265D"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782B8231" w14:textId="77777777" w:rsidR="00C4204E" w:rsidRPr="00050B26" w:rsidRDefault="00C4204E" w:rsidP="00C4204E">
      <w:pPr>
        <w:spacing w:line="276" w:lineRule="auto"/>
        <w:jc w:val="both"/>
        <w:rPr>
          <w:rFonts w:asciiTheme="minorHAnsi" w:hAnsiTheme="minorHAnsi" w:cstheme="minorHAnsi"/>
          <w:sz w:val="22"/>
          <w:szCs w:val="22"/>
        </w:rPr>
      </w:pPr>
    </w:p>
    <w:p w14:paraId="382E8BC9" w14:textId="77777777" w:rsidR="00C4204E" w:rsidRPr="00050B26" w:rsidRDefault="00C4204E" w:rsidP="00C4204E">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6CB56CC4" w14:textId="77777777" w:rsidR="00C4204E"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071A97BD" w14:textId="77777777" w:rsidR="00C4204E" w:rsidRPr="00754CC3"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223BDCF1" w14:textId="77777777" w:rsidR="00C4204E" w:rsidRDefault="00C4204E" w:rsidP="00C4204E">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6D97D4A0" w14:textId="77777777" w:rsidR="00C4204E" w:rsidRPr="00754CC3" w:rsidRDefault="00C4204E" w:rsidP="00C4204E">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74C4FE79"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44636E01" w14:textId="1092BE90"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00A604AB" w:rsidRPr="00A604AB">
        <w:t xml:space="preserve"> </w:t>
      </w:r>
      <w:r w:rsidR="00A604AB" w:rsidRPr="00A604AB">
        <w:rPr>
          <w:rFonts w:asciiTheme="minorHAnsi" w:eastAsia="Calibri" w:hAnsiTheme="minorHAnsi" w:cstheme="minorHAnsi"/>
          <w:color w:val="EE0000"/>
          <w:sz w:val="22"/>
          <w:szCs w:val="22"/>
          <w:lang w:eastAsia="en-US"/>
        </w:rPr>
        <w:t>ocds-148610-fc727e30-68c5-4c03-b95a-d27a0746a580</w:t>
      </w:r>
      <w:r w:rsidRPr="00A604AB">
        <w:rPr>
          <w:rFonts w:asciiTheme="minorHAnsi" w:eastAsia="Calibri" w:hAnsiTheme="minorHAnsi" w:cstheme="minorHAnsi"/>
          <w:color w:val="EE0000"/>
          <w:sz w:val="22"/>
          <w:szCs w:val="22"/>
          <w:lang w:eastAsia="en-US"/>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357FF48E" w14:textId="1FE1C330"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A604AB" w:rsidRPr="00A604AB">
        <w:rPr>
          <w:rFonts w:asciiTheme="minorHAnsi" w:eastAsia="Calibri" w:hAnsiTheme="minorHAnsi" w:cstheme="minorHAnsi"/>
          <w:b/>
          <w:bCs/>
          <w:color w:val="FF0000"/>
          <w:sz w:val="22"/>
          <w:szCs w:val="22"/>
          <w:lang w:eastAsia="en-US"/>
        </w:rPr>
        <w:t>ocds-148610-fc727e30-68c5-4c03-b95a-d27a0746a580</w:t>
      </w:r>
    </w:p>
    <w:p w14:paraId="08D5BD69"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D0261C" w14:textId="77777777" w:rsidR="00C4204E" w:rsidRPr="00050B26" w:rsidRDefault="00C4204E" w:rsidP="00C4204E">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6E52C627" w14:textId="77777777" w:rsidR="00C4204E" w:rsidRPr="00050B26" w:rsidRDefault="00C4204E" w:rsidP="00C4204E">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7888B908"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xml:space="preserve">, odbywa się drogą elektroniczną za pośrednictwem formularzy do komunikacji dostępnych w zakładce „Formularze” („Formularze do komunikacji”). Za </w:t>
      </w:r>
      <w:r w:rsidRPr="00050B26">
        <w:rPr>
          <w:rFonts w:asciiTheme="minorHAnsi" w:eastAsia="Calibri" w:hAnsiTheme="minorHAnsi" w:cstheme="minorHAnsi"/>
          <w:sz w:val="22"/>
          <w:szCs w:val="22"/>
          <w:lang w:eastAsia="en-US"/>
        </w:rPr>
        <w:lastRenderedPageBreak/>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02F5348"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229AAFE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359D92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48EB75AB"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C0E012F"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1050164F"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6B748AF2"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7103533B"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279CFF3D"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4CF883ED"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lastRenderedPageBreak/>
        <w:t xml:space="preserve">Informacje, oświadczenia lub dokumenty, inne niż wymienione w § 2 ust. 1 rozporządzenia Prezesa Rady Ministrów w sprawie wymagań dla dokumentów elektronicznych, przekazywane w postępowaniu sporządza się w postaci elektronicznej: </w:t>
      </w:r>
    </w:p>
    <w:p w14:paraId="74EA00D9" w14:textId="77777777" w:rsidR="00C4204E" w:rsidRPr="00050B26" w:rsidRDefault="00C4204E" w:rsidP="00C4204E">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502F784C" w14:textId="77777777" w:rsidR="00C4204E" w:rsidRPr="00050B26" w:rsidRDefault="00C4204E" w:rsidP="00C4204E">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4826D200" w14:textId="77777777" w:rsidR="00C4204E" w:rsidRPr="00050B26" w:rsidRDefault="00C4204E" w:rsidP="00C4204E">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14533467" w14:textId="77777777" w:rsidR="00C4204E" w:rsidRPr="00050B26" w:rsidRDefault="00C4204E" w:rsidP="00C4204E">
      <w:pPr>
        <w:spacing w:line="276" w:lineRule="auto"/>
        <w:jc w:val="both"/>
        <w:rPr>
          <w:rFonts w:asciiTheme="minorHAnsi" w:hAnsiTheme="minorHAnsi" w:cstheme="minorHAnsi"/>
          <w:i/>
          <w:sz w:val="22"/>
          <w:szCs w:val="22"/>
        </w:rPr>
      </w:pPr>
    </w:p>
    <w:p w14:paraId="570E0432" w14:textId="77777777" w:rsidR="00C4204E" w:rsidRPr="00050B26" w:rsidRDefault="00C4204E" w:rsidP="00C4204E">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4FC3D585" w14:textId="77777777" w:rsidR="00C4204E" w:rsidRPr="00050B26" w:rsidRDefault="00C4204E" w:rsidP="00C4204E">
      <w:pPr>
        <w:spacing w:line="276" w:lineRule="auto"/>
        <w:jc w:val="both"/>
        <w:rPr>
          <w:rFonts w:asciiTheme="minorHAnsi" w:hAnsiTheme="minorHAnsi" w:cstheme="minorHAnsi"/>
          <w:b/>
          <w:i/>
          <w:sz w:val="22"/>
          <w:szCs w:val="22"/>
        </w:rPr>
      </w:pPr>
    </w:p>
    <w:p w14:paraId="26E3239D"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72D9FEC5"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300FC95F" w14:textId="77777777" w:rsidR="00C4204E"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68AD1A73"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53DC9EEB"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51C981D9"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3A8751ED" w14:textId="77777777" w:rsidR="00C4204E" w:rsidRPr="00050B26"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745EC0BE"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72153C72" w14:textId="77777777" w:rsidR="00C4204E" w:rsidRPr="006C33B5" w:rsidRDefault="00C4204E" w:rsidP="00C4204E">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33BCD255"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lastRenderedPageBreak/>
        <w:t>poinformowania Zamawiającego, że wybór jego oferty będzie prowadził do powstania u Zamawiającego obowiązku podatkowego,</w:t>
      </w:r>
    </w:p>
    <w:p w14:paraId="6DDDD686"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727BD61A"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13D1945E" w14:textId="77777777" w:rsidR="00C4204E" w:rsidRPr="006C33B5" w:rsidRDefault="00C4204E" w:rsidP="00C4204E">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6A35836F" w14:textId="77777777" w:rsidR="00C4204E" w:rsidRPr="00EA1D6C" w:rsidRDefault="00C4204E" w:rsidP="00C4204E">
      <w:pPr>
        <w:pStyle w:val="Akapitzlist"/>
        <w:spacing w:line="276" w:lineRule="auto"/>
        <w:ind w:left="851"/>
        <w:jc w:val="both"/>
        <w:rPr>
          <w:rFonts w:asciiTheme="minorHAnsi" w:hAnsiTheme="minorHAnsi" w:cstheme="minorHAnsi"/>
          <w:sz w:val="22"/>
        </w:rPr>
      </w:pPr>
    </w:p>
    <w:p w14:paraId="22001663" w14:textId="77777777" w:rsidR="00C4204E" w:rsidRPr="00EA1D6C"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78679E5E" w14:textId="77777777" w:rsidR="00C4204E" w:rsidRPr="00EA1D6C" w:rsidRDefault="00C4204E" w:rsidP="00C4204E">
      <w:pPr>
        <w:pStyle w:val="Nagwek3"/>
        <w:spacing w:line="276" w:lineRule="auto"/>
        <w:rPr>
          <w:rFonts w:asciiTheme="minorHAnsi" w:hAnsiTheme="minorHAnsi" w:cstheme="minorHAnsi"/>
          <w:caps/>
          <w:sz w:val="22"/>
        </w:rPr>
      </w:pPr>
    </w:p>
    <w:p w14:paraId="3A336426" w14:textId="1035C545" w:rsidR="00C4204E" w:rsidRPr="00EA1D6C" w:rsidRDefault="00C4204E" w:rsidP="00C4204E">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sidR="003113FA">
        <w:rPr>
          <w:rFonts w:asciiTheme="minorHAnsi" w:hAnsiTheme="minorHAnsi" w:cstheme="minorHAnsi"/>
          <w:b/>
          <w:sz w:val="22"/>
        </w:rPr>
        <w:t>2</w:t>
      </w:r>
      <w:r>
        <w:rPr>
          <w:rFonts w:asciiTheme="minorHAnsi" w:hAnsiTheme="minorHAnsi" w:cstheme="minorHAnsi"/>
          <w:b/>
          <w:sz w:val="22"/>
        </w:rPr>
        <w:t>7</w:t>
      </w:r>
      <w:r w:rsidRPr="00EA1D6C">
        <w:rPr>
          <w:rFonts w:asciiTheme="minorHAnsi" w:hAnsiTheme="minorHAnsi" w:cstheme="minorHAnsi"/>
          <w:b/>
          <w:sz w:val="22"/>
        </w:rPr>
        <w:t xml:space="preserve">.10.2025 r. do godz. 09:00 </w:t>
      </w:r>
      <w:bookmarkEnd w:id="6"/>
      <w:r w:rsidRPr="00EA1D6C">
        <w:rPr>
          <w:rFonts w:asciiTheme="minorHAnsi" w:hAnsiTheme="minorHAnsi" w:cstheme="minorHAnsi"/>
          <w:bCs/>
          <w:color w:val="EE0000"/>
          <w:sz w:val="22"/>
        </w:rPr>
        <w:t>na Platformie E-zamówienia.</w:t>
      </w:r>
    </w:p>
    <w:p w14:paraId="6095E423" w14:textId="77777777" w:rsidR="00C4204E" w:rsidRPr="00EA1D6C" w:rsidRDefault="00C4204E" w:rsidP="00C4204E">
      <w:pPr>
        <w:pStyle w:val="Tekstpodstawowy"/>
        <w:tabs>
          <w:tab w:val="clear" w:pos="142"/>
          <w:tab w:val="left" w:pos="4056"/>
        </w:tabs>
        <w:spacing w:line="276" w:lineRule="auto"/>
        <w:rPr>
          <w:rFonts w:asciiTheme="minorHAnsi" w:hAnsiTheme="minorHAnsi" w:cstheme="minorHAnsi"/>
          <w:sz w:val="22"/>
        </w:rPr>
      </w:pPr>
    </w:p>
    <w:p w14:paraId="715E06DA" w14:textId="77777777" w:rsidR="00C4204E" w:rsidRPr="00EA1D6C" w:rsidRDefault="00C4204E" w:rsidP="00C4204E">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3F39C7DD" w14:textId="77777777" w:rsidR="00C4204E" w:rsidRPr="00EA1D6C"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26B54E11" w14:textId="77777777" w:rsidR="00C4204E" w:rsidRPr="00EA1D6C" w:rsidRDefault="00C4204E" w:rsidP="00C4204E">
      <w:pPr>
        <w:pStyle w:val="Tekstpodstawowy"/>
        <w:spacing w:line="276" w:lineRule="auto"/>
        <w:rPr>
          <w:rFonts w:asciiTheme="minorHAnsi" w:hAnsiTheme="minorHAnsi" w:cstheme="minorHAnsi"/>
          <w:b/>
          <w:sz w:val="22"/>
        </w:rPr>
      </w:pPr>
    </w:p>
    <w:p w14:paraId="1480A16B" w14:textId="47142F7D" w:rsidR="00C4204E" w:rsidRPr="00561E2B" w:rsidRDefault="00C4204E" w:rsidP="00C4204E">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sidR="003113FA">
        <w:rPr>
          <w:rFonts w:asciiTheme="minorHAnsi" w:hAnsiTheme="minorHAnsi" w:cstheme="minorHAnsi"/>
          <w:b/>
          <w:bCs/>
          <w:sz w:val="22"/>
        </w:rPr>
        <w:t>2</w:t>
      </w:r>
      <w:r>
        <w:rPr>
          <w:rFonts w:asciiTheme="minorHAnsi" w:hAnsiTheme="minorHAnsi" w:cstheme="minorHAnsi"/>
          <w:b/>
          <w:bCs/>
          <w:sz w:val="22"/>
        </w:rPr>
        <w:t>5</w:t>
      </w:r>
      <w:r w:rsidRPr="00EA1D6C">
        <w:rPr>
          <w:rFonts w:asciiTheme="minorHAnsi" w:hAnsiTheme="minorHAnsi" w:cstheme="minorHAnsi"/>
          <w:b/>
          <w:sz w:val="22"/>
        </w:rPr>
        <w:t>.11.2025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25BD450A" w14:textId="77777777" w:rsidR="00C4204E" w:rsidRPr="00561E2B" w:rsidRDefault="00C4204E" w:rsidP="00C4204E">
      <w:pPr>
        <w:spacing w:line="276" w:lineRule="auto"/>
        <w:jc w:val="both"/>
        <w:rPr>
          <w:rFonts w:asciiTheme="minorHAnsi" w:hAnsiTheme="minorHAnsi" w:cstheme="minorHAnsi"/>
          <w:b/>
          <w:sz w:val="22"/>
        </w:rPr>
      </w:pPr>
    </w:p>
    <w:p w14:paraId="690E48D4" w14:textId="77777777" w:rsidR="00C4204E" w:rsidRPr="00561E2B"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640CCFB2" w14:textId="77777777" w:rsidR="00C4204E" w:rsidRPr="00561E2B" w:rsidRDefault="00C4204E" w:rsidP="00C4204E">
      <w:pPr>
        <w:spacing w:line="276" w:lineRule="auto"/>
        <w:rPr>
          <w:rFonts w:asciiTheme="minorHAnsi" w:hAnsiTheme="minorHAnsi" w:cstheme="minorHAnsi"/>
          <w:sz w:val="22"/>
        </w:rPr>
      </w:pPr>
    </w:p>
    <w:p w14:paraId="5A88C1F8" w14:textId="4950EAE1"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sidR="003113FA">
        <w:rPr>
          <w:rFonts w:asciiTheme="minorHAnsi" w:hAnsiTheme="minorHAnsi" w:cstheme="minorHAnsi"/>
          <w:b/>
          <w:sz w:val="22"/>
        </w:rPr>
        <w:t>2</w:t>
      </w:r>
      <w:r>
        <w:rPr>
          <w:rFonts w:asciiTheme="minorHAnsi" w:hAnsiTheme="minorHAnsi" w:cstheme="minorHAnsi"/>
          <w:b/>
          <w:sz w:val="22"/>
        </w:rPr>
        <w:t>7</w:t>
      </w:r>
      <w:r w:rsidRPr="00561E2B">
        <w:rPr>
          <w:rFonts w:asciiTheme="minorHAnsi" w:hAnsiTheme="minorHAnsi" w:cstheme="minorHAnsi"/>
          <w:b/>
          <w:sz w:val="22"/>
        </w:rPr>
        <w:t>.10.2025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4B862CEC" w14:textId="77777777"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75762DCD" w14:textId="77777777" w:rsidR="00C4204E" w:rsidRPr="00561E2B" w:rsidRDefault="00C4204E" w:rsidP="00C4204E">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51C80A08" w14:textId="77777777" w:rsidR="00C4204E" w:rsidRPr="00561E2B" w:rsidRDefault="00C4204E" w:rsidP="00C4204E">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0235B8CA" w14:textId="77777777" w:rsidR="00C4204E" w:rsidRPr="00561E2B" w:rsidRDefault="00C4204E" w:rsidP="00C4204E">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61FED5BA" w14:textId="77777777" w:rsidR="00C4204E" w:rsidRPr="00FA3145" w:rsidRDefault="00C4204E" w:rsidP="00C4204E">
      <w:pPr>
        <w:pStyle w:val="Akapitzlist"/>
        <w:spacing w:line="276" w:lineRule="auto"/>
        <w:ind w:left="851"/>
        <w:jc w:val="both"/>
        <w:rPr>
          <w:sz w:val="22"/>
          <w:szCs w:val="22"/>
        </w:rPr>
      </w:pPr>
    </w:p>
    <w:p w14:paraId="085A3132"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071DEF82" w14:textId="77777777" w:rsidR="00C4204E" w:rsidRPr="00D60631" w:rsidRDefault="00C4204E" w:rsidP="00C4204E">
      <w:pPr>
        <w:pStyle w:val="1"/>
        <w:spacing w:line="276" w:lineRule="auto"/>
        <w:ind w:left="0" w:firstLine="0"/>
        <w:rPr>
          <w:rFonts w:asciiTheme="minorHAnsi" w:hAnsiTheme="minorHAnsi" w:cstheme="minorHAnsi"/>
          <w:b/>
          <w:bCs/>
          <w:color w:val="auto"/>
          <w:sz w:val="22"/>
          <w:szCs w:val="20"/>
        </w:rPr>
      </w:pPr>
    </w:p>
    <w:p w14:paraId="65D2A34F" w14:textId="77777777" w:rsidR="00AE36D7" w:rsidRPr="00D60631" w:rsidRDefault="00C4204E"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r>
      <w:r w:rsidR="00AE36D7" w:rsidRPr="00D60631">
        <w:rPr>
          <w:rFonts w:asciiTheme="minorHAnsi" w:hAnsiTheme="minorHAnsi" w:cstheme="minorHAnsi"/>
          <w:sz w:val="22"/>
          <w:szCs w:val="22"/>
        </w:rPr>
        <w:t>Najkorzystniejszą ofertą będzie oferta, która przedstawia najkorzystniejszy bilans ceny i innych kryteriów odnoszących się do przedmiotu zamówienia publicznego</w:t>
      </w:r>
    </w:p>
    <w:p w14:paraId="5CCFF40D" w14:textId="77777777" w:rsidR="00AE36D7" w:rsidRPr="00D60631" w:rsidRDefault="00AE36D7" w:rsidP="00AE36D7">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30D27535" w14:textId="77777777" w:rsidR="00AE36D7" w:rsidRPr="00D60631" w:rsidRDefault="00AE36D7" w:rsidP="00AE36D7">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14E74DF8" w14:textId="77777777" w:rsidR="00AE36D7" w:rsidRPr="00D60631" w:rsidRDefault="00AE36D7" w:rsidP="00AE36D7">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w:t>
      </w:r>
      <w:r>
        <w:rPr>
          <w:rFonts w:asciiTheme="minorHAnsi" w:hAnsiTheme="minorHAnsi" w:cstheme="minorHAnsi"/>
          <w:b/>
          <w:sz w:val="22"/>
          <w:szCs w:val="22"/>
        </w:rPr>
        <w:t xml:space="preserve"> i rękojmi</w:t>
      </w:r>
      <w:r w:rsidRPr="00D60631">
        <w:rPr>
          <w:rFonts w:asciiTheme="minorHAnsi" w:hAnsiTheme="minorHAnsi" w:cstheme="minorHAnsi"/>
          <w:b/>
          <w:sz w:val="22"/>
          <w:szCs w:val="22"/>
        </w:rPr>
        <w:t xml:space="preserve">  (G): waga kryterium – 40,00 punktów</w:t>
      </w:r>
    </w:p>
    <w:p w14:paraId="08A6E329" w14:textId="77777777" w:rsidR="00AE36D7" w:rsidRPr="00D60631" w:rsidRDefault="00AE36D7" w:rsidP="00AE36D7">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05655AFD"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1C604D24"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357C1E84" w14:textId="77777777" w:rsidR="00AE36D7" w:rsidRPr="00D60631" w:rsidRDefault="00AE36D7" w:rsidP="00AE36D7">
      <w:pPr>
        <w:tabs>
          <w:tab w:val="left" w:pos="1276"/>
        </w:tabs>
        <w:spacing w:line="276" w:lineRule="auto"/>
        <w:ind w:left="1276" w:hanging="425"/>
        <w:jc w:val="both"/>
        <w:rPr>
          <w:rFonts w:asciiTheme="minorHAnsi" w:hAnsiTheme="minorHAnsi" w:cstheme="minorHAnsi"/>
          <w:sz w:val="22"/>
          <w:szCs w:val="22"/>
        </w:rPr>
      </w:pPr>
    </w:p>
    <w:p w14:paraId="75AB8FE2" w14:textId="77777777" w:rsidR="00AE36D7" w:rsidRPr="00D60631" w:rsidRDefault="00AE36D7" w:rsidP="00AE36D7">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lastRenderedPageBreak/>
        <w:t xml:space="preserve">Pi (C) =  </w:t>
      </w:r>
      <w:r w:rsidRPr="00D60631">
        <w:rPr>
          <w:rFonts w:asciiTheme="minorHAnsi" w:hAnsiTheme="minorHAnsi" w:cstheme="minorHAnsi"/>
          <w:noProof/>
          <w:sz w:val="22"/>
          <w:szCs w:val="22"/>
        </w:rPr>
        <w:drawing>
          <wp:inline distT="0" distB="0" distL="0" distR="0" wp14:anchorId="211B2F1D" wp14:editId="2AEB2D40">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51BBBA73" w14:textId="77777777" w:rsidR="00AE36D7" w:rsidRPr="00D60631" w:rsidRDefault="00AE36D7" w:rsidP="00AE36D7">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AE36D7" w:rsidRPr="00D60631" w14:paraId="44488810" w14:textId="77777777" w:rsidTr="004F67B7">
        <w:tc>
          <w:tcPr>
            <w:tcW w:w="1417" w:type="dxa"/>
            <w:tcBorders>
              <w:top w:val="single" w:sz="4" w:space="0" w:color="000000"/>
              <w:left w:val="single" w:sz="4" w:space="0" w:color="000000"/>
              <w:bottom w:val="single" w:sz="4" w:space="0" w:color="000000"/>
            </w:tcBorders>
          </w:tcPr>
          <w:p w14:paraId="29ECB69B"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79261034"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AE36D7" w:rsidRPr="00D60631" w14:paraId="0219D976" w14:textId="77777777" w:rsidTr="004F67B7">
        <w:tc>
          <w:tcPr>
            <w:tcW w:w="1417" w:type="dxa"/>
            <w:tcBorders>
              <w:top w:val="single" w:sz="4" w:space="0" w:color="000000"/>
              <w:left w:val="single" w:sz="4" w:space="0" w:color="000000"/>
              <w:bottom w:val="single" w:sz="4" w:space="0" w:color="000000"/>
            </w:tcBorders>
          </w:tcPr>
          <w:p w14:paraId="2D989A51"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5264DA5C"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AE36D7" w:rsidRPr="00D60631" w14:paraId="32356045" w14:textId="77777777" w:rsidTr="004F67B7">
        <w:tc>
          <w:tcPr>
            <w:tcW w:w="1417" w:type="dxa"/>
            <w:tcBorders>
              <w:top w:val="single" w:sz="4" w:space="0" w:color="000000"/>
              <w:left w:val="single" w:sz="4" w:space="0" w:color="000000"/>
              <w:bottom w:val="single" w:sz="4" w:space="0" w:color="000000"/>
            </w:tcBorders>
          </w:tcPr>
          <w:p w14:paraId="34B835C5"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19F39F5D"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AE36D7" w:rsidRPr="00D60631" w14:paraId="6E7C82AF" w14:textId="77777777" w:rsidTr="004F67B7">
        <w:tc>
          <w:tcPr>
            <w:tcW w:w="1417" w:type="dxa"/>
            <w:tcBorders>
              <w:top w:val="single" w:sz="4" w:space="0" w:color="000000"/>
              <w:left w:val="single" w:sz="4" w:space="0" w:color="000000"/>
              <w:bottom w:val="single" w:sz="4" w:space="0" w:color="000000"/>
            </w:tcBorders>
          </w:tcPr>
          <w:p w14:paraId="44BAF45C" w14:textId="77777777" w:rsidR="00AE36D7" w:rsidRPr="00D60631" w:rsidRDefault="00AE36D7" w:rsidP="004F67B7">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533D373A" w14:textId="77777777" w:rsidR="00AE36D7" w:rsidRPr="00D60631" w:rsidRDefault="00AE36D7" w:rsidP="004F67B7">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39AE72E1" w14:textId="77777777" w:rsidR="00AE36D7" w:rsidRPr="00D60631" w:rsidRDefault="00AE36D7" w:rsidP="00AE36D7">
      <w:pPr>
        <w:tabs>
          <w:tab w:val="left" w:pos="1276"/>
        </w:tabs>
        <w:spacing w:line="276" w:lineRule="auto"/>
        <w:ind w:left="1276" w:hanging="425"/>
        <w:rPr>
          <w:rFonts w:asciiTheme="minorHAnsi" w:hAnsiTheme="minorHAnsi" w:cstheme="minorHAnsi"/>
          <w:bCs/>
          <w:iCs/>
          <w:sz w:val="22"/>
          <w:szCs w:val="22"/>
        </w:rPr>
      </w:pPr>
    </w:p>
    <w:p w14:paraId="7479EC97" w14:textId="77777777" w:rsidR="00AE36D7" w:rsidRPr="00D60631" w:rsidRDefault="00AE36D7" w:rsidP="00AE36D7">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w:t>
      </w:r>
      <w:r>
        <w:rPr>
          <w:rFonts w:asciiTheme="minorHAnsi" w:hAnsiTheme="minorHAnsi" w:cstheme="minorHAnsi"/>
          <w:sz w:val="22"/>
          <w:szCs w:val="22"/>
        </w:rPr>
        <w:t xml:space="preserve"> i rękojmi</w:t>
      </w:r>
      <w:r w:rsidRPr="00D60631">
        <w:rPr>
          <w:rFonts w:asciiTheme="minorHAnsi" w:hAnsiTheme="minorHAnsi" w:cstheme="minorHAnsi"/>
          <w:sz w:val="22"/>
          <w:szCs w:val="22"/>
        </w:rPr>
        <w:t xml:space="preserve"> (G).</w:t>
      </w:r>
    </w:p>
    <w:p w14:paraId="0476484E" w14:textId="77777777" w:rsidR="00AE36D7" w:rsidRPr="00D60631" w:rsidRDefault="00AE36D7" w:rsidP="00AE36D7">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w:t>
      </w:r>
      <w:r>
        <w:rPr>
          <w:rFonts w:asciiTheme="minorHAnsi" w:hAnsiTheme="minorHAnsi" w:cstheme="minorHAnsi"/>
          <w:sz w:val="22"/>
          <w:szCs w:val="22"/>
        </w:rPr>
        <w:t>i rękojmi</w:t>
      </w:r>
      <w:r w:rsidRPr="00D60631">
        <w:rPr>
          <w:rFonts w:asciiTheme="minorHAnsi" w:hAnsiTheme="minorHAnsi" w:cstheme="minorHAnsi"/>
          <w:sz w:val="22"/>
          <w:szCs w:val="22"/>
        </w:rPr>
        <w:t xml:space="preserve">”, Wykonawca zobowiązany jest wskazać </w:t>
      </w:r>
    </w:p>
    <w:p w14:paraId="48C09E18" w14:textId="77777777" w:rsidR="00AE36D7" w:rsidRPr="00D60631" w:rsidRDefault="00AE36D7" w:rsidP="00AE36D7">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207DDCAE" w14:textId="77777777" w:rsidR="00AE36D7" w:rsidRPr="00D60631" w:rsidRDefault="00AE36D7" w:rsidP="00AE36D7">
      <w:pPr>
        <w:spacing w:line="276" w:lineRule="auto"/>
        <w:ind w:left="360"/>
        <w:jc w:val="both"/>
        <w:rPr>
          <w:rFonts w:asciiTheme="minorHAnsi" w:hAnsiTheme="minorHAnsi" w:cstheme="minorHAnsi"/>
          <w:b/>
          <w:sz w:val="22"/>
          <w:szCs w:val="22"/>
        </w:rPr>
      </w:pPr>
    </w:p>
    <w:p w14:paraId="1787D083" w14:textId="77777777" w:rsidR="00AE36D7" w:rsidRPr="00D60631" w:rsidRDefault="00AE36D7" w:rsidP="00AE36D7">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5056E823" w14:textId="4CC8ED71"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36</w:t>
      </w:r>
      <w:r>
        <w:rPr>
          <w:rFonts w:asciiTheme="minorHAnsi" w:hAnsiTheme="minorHAnsi" w:cstheme="minorHAnsi"/>
          <w:b/>
          <w:sz w:val="22"/>
          <w:szCs w:val="22"/>
        </w:rPr>
        <w:t xml:space="preserve"> m-</w:t>
      </w:r>
      <w:proofErr w:type="spellStart"/>
      <w:r>
        <w:rPr>
          <w:rFonts w:asciiTheme="minorHAnsi" w:hAnsiTheme="minorHAnsi" w:cstheme="minorHAnsi"/>
          <w:b/>
          <w:sz w:val="22"/>
          <w:szCs w:val="22"/>
        </w:rPr>
        <w:t>c</w:t>
      </w:r>
      <w:r w:rsidR="008D122D">
        <w:rPr>
          <w:rFonts w:asciiTheme="minorHAnsi" w:hAnsiTheme="minorHAnsi" w:cstheme="minorHAnsi"/>
          <w:b/>
          <w:sz w:val="22"/>
          <w:szCs w:val="22"/>
        </w:rPr>
        <w:t>y</w:t>
      </w:r>
      <w:proofErr w:type="spellEnd"/>
      <w:r w:rsidRPr="00D60631">
        <w:rPr>
          <w:rFonts w:asciiTheme="minorHAnsi" w:hAnsiTheme="minorHAnsi" w:cstheme="minorHAnsi"/>
          <w:b/>
          <w:sz w:val="22"/>
          <w:szCs w:val="22"/>
        </w:rPr>
        <w:t>– 10,00 pkt,</w:t>
      </w:r>
    </w:p>
    <w:p w14:paraId="3114698C" w14:textId="0245C0F6"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48</w:t>
      </w:r>
      <w:r>
        <w:rPr>
          <w:rFonts w:asciiTheme="minorHAnsi" w:hAnsiTheme="minorHAnsi" w:cstheme="minorHAnsi"/>
          <w:b/>
          <w:sz w:val="22"/>
          <w:szCs w:val="22"/>
        </w:rPr>
        <w:t xml:space="preserve"> m-</w:t>
      </w:r>
      <w:proofErr w:type="spellStart"/>
      <w:r>
        <w:rPr>
          <w:rFonts w:asciiTheme="minorHAnsi" w:hAnsiTheme="minorHAnsi" w:cstheme="minorHAnsi"/>
          <w:b/>
          <w:sz w:val="22"/>
          <w:szCs w:val="22"/>
        </w:rPr>
        <w:t>cy</w:t>
      </w:r>
      <w:proofErr w:type="spellEnd"/>
      <w:r>
        <w:rPr>
          <w:rFonts w:asciiTheme="minorHAnsi" w:hAnsiTheme="minorHAnsi" w:cstheme="minorHAnsi"/>
          <w:b/>
          <w:sz w:val="22"/>
          <w:szCs w:val="22"/>
        </w:rPr>
        <w:t xml:space="preserve"> </w:t>
      </w:r>
      <w:r w:rsidRPr="00D60631">
        <w:rPr>
          <w:rFonts w:asciiTheme="minorHAnsi" w:hAnsiTheme="minorHAnsi" w:cstheme="minorHAnsi"/>
          <w:b/>
          <w:sz w:val="22"/>
          <w:szCs w:val="22"/>
        </w:rPr>
        <w:t xml:space="preserve">– 25,00 pkt, </w:t>
      </w:r>
    </w:p>
    <w:p w14:paraId="7721E9BC" w14:textId="3F16A826" w:rsidR="00AE36D7" w:rsidRPr="00D60631" w:rsidRDefault="00AE36D7" w:rsidP="00AE36D7">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i rękojmi - </w:t>
      </w:r>
      <w:r w:rsidR="008D122D">
        <w:rPr>
          <w:rFonts w:asciiTheme="minorHAnsi" w:hAnsiTheme="minorHAnsi" w:cstheme="minorHAnsi"/>
          <w:b/>
          <w:sz w:val="22"/>
          <w:szCs w:val="22"/>
        </w:rPr>
        <w:t>60</w:t>
      </w:r>
      <w:r w:rsidRPr="00D60631">
        <w:rPr>
          <w:rFonts w:asciiTheme="minorHAnsi" w:hAnsiTheme="minorHAnsi" w:cstheme="minorHAnsi"/>
          <w:b/>
          <w:sz w:val="22"/>
          <w:szCs w:val="22"/>
        </w:rPr>
        <w:t xml:space="preserve"> m-</w:t>
      </w:r>
      <w:proofErr w:type="spellStart"/>
      <w:r w:rsidRPr="00D60631">
        <w:rPr>
          <w:rFonts w:asciiTheme="minorHAnsi" w:hAnsiTheme="minorHAnsi" w:cstheme="minorHAnsi"/>
          <w:b/>
          <w:sz w:val="22"/>
          <w:szCs w:val="22"/>
        </w:rPr>
        <w:t>cy</w:t>
      </w:r>
      <w:proofErr w:type="spellEnd"/>
      <w:r w:rsidRPr="00D60631">
        <w:rPr>
          <w:rFonts w:asciiTheme="minorHAnsi" w:hAnsiTheme="minorHAnsi" w:cstheme="minorHAnsi"/>
          <w:b/>
          <w:sz w:val="22"/>
          <w:szCs w:val="22"/>
        </w:rPr>
        <w:t xml:space="preserve"> – 40,00 pkt.</w:t>
      </w:r>
    </w:p>
    <w:p w14:paraId="6B10D53E" w14:textId="77777777" w:rsidR="00AE36D7" w:rsidRPr="00D60631" w:rsidRDefault="00AE36D7" w:rsidP="00AE36D7">
      <w:pPr>
        <w:spacing w:line="276" w:lineRule="auto"/>
        <w:ind w:left="720" w:right="176"/>
        <w:jc w:val="both"/>
        <w:rPr>
          <w:rFonts w:asciiTheme="minorHAnsi" w:hAnsiTheme="minorHAnsi" w:cstheme="minorHAnsi"/>
          <w:b/>
          <w:sz w:val="22"/>
          <w:szCs w:val="22"/>
        </w:rPr>
      </w:pPr>
    </w:p>
    <w:p w14:paraId="7FD1A6C7" w14:textId="3147F0F9" w:rsidR="00AE36D7" w:rsidRPr="00D60631" w:rsidRDefault="00AE36D7" w:rsidP="00AE36D7">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xml:space="preserve"> za wady</w:t>
      </w:r>
      <w:r>
        <w:rPr>
          <w:rFonts w:asciiTheme="minorHAnsi" w:hAnsiTheme="minorHAnsi" w:cstheme="minorHAnsi"/>
          <w:sz w:val="22"/>
          <w:szCs w:val="22"/>
          <w:lang w:eastAsia="ar-SA"/>
        </w:rPr>
        <w:t xml:space="preserve"> przedmiotu zamówienia wynosi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Wykonawca wskazuje w Formularzu ofertowym oferowany okres gwarancji</w:t>
      </w:r>
      <w:r>
        <w:rPr>
          <w:rFonts w:asciiTheme="minorHAnsi" w:hAnsiTheme="minorHAnsi" w:cstheme="minorHAnsi"/>
          <w:sz w:val="22"/>
          <w:szCs w:val="22"/>
          <w:lang w:eastAsia="ar-SA"/>
        </w:rPr>
        <w:t xml:space="preserve"> i rękojmi </w:t>
      </w:r>
      <w:r w:rsidRPr="00D60631">
        <w:rPr>
          <w:rFonts w:asciiTheme="minorHAnsi" w:hAnsiTheme="minorHAnsi" w:cstheme="minorHAnsi"/>
          <w:sz w:val="22"/>
          <w:szCs w:val="22"/>
          <w:lang w:eastAsia="ar-SA"/>
        </w:rPr>
        <w:t>. W przypadku gdy Wykonawca nie zadeklaruje w Formularzu ofertowym żadnego okresu gwarancji</w:t>
      </w:r>
      <w:r>
        <w:rPr>
          <w:rFonts w:asciiTheme="minorHAnsi" w:hAnsiTheme="minorHAnsi" w:cstheme="minorHAnsi"/>
          <w:sz w:val="22"/>
          <w:szCs w:val="22"/>
          <w:lang w:eastAsia="ar-SA"/>
        </w:rPr>
        <w:t xml:space="preserve"> i rękojmi</w:t>
      </w:r>
      <w:r w:rsidRPr="00D60631">
        <w:rPr>
          <w:rFonts w:asciiTheme="minorHAnsi" w:hAnsiTheme="minorHAnsi" w:cstheme="minorHAnsi"/>
          <w:sz w:val="22"/>
          <w:szCs w:val="22"/>
          <w:lang w:eastAsia="ar-SA"/>
        </w:rPr>
        <w:t>, wówczas Zamawiający przyjmie najkrótszy wymagany okres gwarancj</w:t>
      </w:r>
      <w:r>
        <w:rPr>
          <w:rFonts w:asciiTheme="minorHAnsi" w:hAnsiTheme="minorHAnsi" w:cstheme="minorHAnsi"/>
          <w:sz w:val="22"/>
          <w:szCs w:val="22"/>
          <w:lang w:eastAsia="ar-SA"/>
        </w:rPr>
        <w:t xml:space="preserve">i i rękojmi wynoszący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 przypadku gdy wykonawca zadeklaruje okres gwarancji </w:t>
      </w:r>
      <w:r>
        <w:rPr>
          <w:rFonts w:asciiTheme="minorHAnsi" w:hAnsiTheme="minorHAnsi" w:cstheme="minorHAnsi"/>
          <w:sz w:val="22"/>
          <w:szCs w:val="22"/>
          <w:lang w:eastAsia="ar-SA"/>
        </w:rPr>
        <w:t xml:space="preserve">i rękojmi krótszy niż </w:t>
      </w:r>
      <w:r w:rsidR="008D122D">
        <w:rPr>
          <w:rFonts w:asciiTheme="minorHAnsi" w:hAnsiTheme="minorHAnsi" w:cstheme="minorHAnsi"/>
          <w:sz w:val="22"/>
          <w:szCs w:val="22"/>
          <w:lang w:eastAsia="ar-SA"/>
        </w:rPr>
        <w:t>36</w:t>
      </w:r>
      <w:r w:rsidRPr="00D60631">
        <w:rPr>
          <w:rFonts w:asciiTheme="minorHAnsi" w:hAnsiTheme="minorHAnsi" w:cstheme="minorHAnsi"/>
          <w:sz w:val="22"/>
          <w:szCs w:val="22"/>
          <w:lang w:eastAsia="ar-SA"/>
        </w:rPr>
        <w:t xml:space="preserve"> miesięcy, wówczas oferta zostanie odrzucona jako niezgodna z treścią SWZ.</w:t>
      </w:r>
    </w:p>
    <w:p w14:paraId="28F818DB" w14:textId="77777777" w:rsidR="00AE36D7" w:rsidRPr="00D60631" w:rsidRDefault="00AE36D7" w:rsidP="00AE36D7">
      <w:pPr>
        <w:spacing w:line="276" w:lineRule="auto"/>
        <w:ind w:left="426" w:right="176"/>
        <w:jc w:val="both"/>
        <w:rPr>
          <w:rFonts w:asciiTheme="minorHAnsi" w:hAnsiTheme="minorHAnsi" w:cstheme="minorHAnsi"/>
          <w:sz w:val="22"/>
          <w:szCs w:val="22"/>
        </w:rPr>
      </w:pPr>
    </w:p>
    <w:p w14:paraId="50DE4713" w14:textId="77777777" w:rsidR="00AE36D7" w:rsidRPr="00D60631" w:rsidRDefault="00AE36D7" w:rsidP="00AE36D7">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7A59829C" w14:textId="77777777" w:rsidR="00AE36D7" w:rsidRPr="00D60631" w:rsidRDefault="00AE36D7" w:rsidP="00AE36D7">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56F48B4A" w14:textId="77777777" w:rsidR="00AE36D7" w:rsidRPr="00D60631" w:rsidRDefault="00AE36D7" w:rsidP="00AE36D7">
      <w:pPr>
        <w:overflowPunct w:val="0"/>
        <w:spacing w:line="276" w:lineRule="auto"/>
        <w:ind w:left="360"/>
        <w:jc w:val="both"/>
        <w:textAlignment w:val="baseline"/>
        <w:rPr>
          <w:rFonts w:asciiTheme="minorHAnsi" w:hAnsiTheme="minorHAnsi" w:cstheme="minorHAnsi"/>
          <w:sz w:val="22"/>
          <w:szCs w:val="22"/>
          <w:lang w:eastAsia="ar-SA"/>
        </w:rPr>
      </w:pPr>
    </w:p>
    <w:p w14:paraId="7E907005" w14:textId="77777777" w:rsidR="00AE36D7" w:rsidRPr="00D60631" w:rsidRDefault="00AE36D7" w:rsidP="00AE36D7">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06265D5E" w14:textId="77777777" w:rsidR="00AE36D7" w:rsidRPr="00D60631" w:rsidRDefault="00AE36D7" w:rsidP="00AE36D7">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AE36D7" w:rsidRPr="00D60631" w14:paraId="33E324FE" w14:textId="77777777" w:rsidTr="004F67B7">
        <w:tc>
          <w:tcPr>
            <w:tcW w:w="1080" w:type="dxa"/>
            <w:tcBorders>
              <w:top w:val="single" w:sz="4" w:space="0" w:color="000000"/>
              <w:left w:val="single" w:sz="4" w:space="0" w:color="000000"/>
              <w:bottom w:val="single" w:sz="4" w:space="0" w:color="000000"/>
            </w:tcBorders>
          </w:tcPr>
          <w:p w14:paraId="08D881D8"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74F9F2C3"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AE36D7" w:rsidRPr="00D60631" w14:paraId="771511F9" w14:textId="77777777" w:rsidTr="004F67B7">
        <w:tc>
          <w:tcPr>
            <w:tcW w:w="1080" w:type="dxa"/>
            <w:tcBorders>
              <w:top w:val="single" w:sz="4" w:space="0" w:color="000000"/>
              <w:left w:val="single" w:sz="4" w:space="0" w:color="000000"/>
              <w:bottom w:val="single" w:sz="4" w:space="0" w:color="000000"/>
            </w:tcBorders>
          </w:tcPr>
          <w:p w14:paraId="2C0EEB62"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5368D08A" w14:textId="77777777" w:rsidR="00AE36D7" w:rsidRPr="00D60631" w:rsidRDefault="00AE36D7" w:rsidP="004F67B7">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7E5F8779" w14:textId="77777777" w:rsidR="00AE36D7" w:rsidRPr="00D60631" w:rsidRDefault="00AE36D7" w:rsidP="00AE36D7">
      <w:pPr>
        <w:spacing w:line="276" w:lineRule="auto"/>
        <w:jc w:val="both"/>
        <w:rPr>
          <w:rFonts w:asciiTheme="minorHAnsi" w:hAnsiTheme="minorHAnsi" w:cstheme="minorHAnsi"/>
          <w:sz w:val="22"/>
          <w:szCs w:val="22"/>
        </w:rPr>
      </w:pPr>
    </w:p>
    <w:p w14:paraId="31DD1D47"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0AB8EB10"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731E761D" w14:textId="77777777" w:rsidR="00AE36D7"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573441C1" w14:textId="20603B0F" w:rsidR="00C4204E" w:rsidRPr="00D60631" w:rsidRDefault="00AE36D7" w:rsidP="00AE36D7">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0ACB5C70" w14:textId="77777777" w:rsidR="00C4204E" w:rsidRPr="00D60631" w:rsidRDefault="00C4204E" w:rsidP="00C4204E">
      <w:pPr>
        <w:tabs>
          <w:tab w:val="left" w:pos="426"/>
        </w:tabs>
        <w:spacing w:line="276" w:lineRule="auto"/>
        <w:ind w:left="426" w:hanging="426"/>
        <w:jc w:val="both"/>
        <w:rPr>
          <w:rFonts w:asciiTheme="minorHAnsi" w:hAnsiTheme="minorHAnsi" w:cstheme="minorHAnsi"/>
          <w:sz w:val="22"/>
          <w:szCs w:val="22"/>
        </w:rPr>
      </w:pPr>
    </w:p>
    <w:p w14:paraId="36A5E791"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15B165F8" w14:textId="77777777" w:rsidR="00C4204E" w:rsidRPr="00D60631" w:rsidRDefault="00C4204E" w:rsidP="00C4204E">
      <w:pPr>
        <w:spacing w:line="276" w:lineRule="auto"/>
        <w:rPr>
          <w:rFonts w:asciiTheme="minorHAnsi" w:hAnsiTheme="minorHAnsi" w:cstheme="minorHAnsi"/>
          <w:i/>
        </w:rPr>
      </w:pPr>
    </w:p>
    <w:p w14:paraId="51A188B9"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3D0712CC"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3690409" w14:textId="77777777" w:rsidR="00C4204E" w:rsidRPr="00D60631" w:rsidRDefault="00C4204E" w:rsidP="00C4204E">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7ECCA4A2" w14:textId="77777777" w:rsidR="00C4204E" w:rsidRPr="00D60631" w:rsidRDefault="00C4204E" w:rsidP="00C4204E">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0BD4D31D" w14:textId="77777777" w:rsidR="00C4204E" w:rsidRPr="00D60631" w:rsidRDefault="00C4204E" w:rsidP="00C4204E">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7EB3C78A" w14:textId="77777777" w:rsidR="00C4204E" w:rsidRPr="00D60631" w:rsidRDefault="00C4204E" w:rsidP="00C4204E">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51FAE853" w14:textId="77777777" w:rsidR="00C4204E" w:rsidRPr="00DE4359" w:rsidRDefault="00C4204E" w:rsidP="00C4204E">
      <w:pPr>
        <w:spacing w:line="276" w:lineRule="auto"/>
        <w:jc w:val="both"/>
        <w:rPr>
          <w:rFonts w:asciiTheme="minorHAnsi" w:hAnsiTheme="minorHAnsi" w:cstheme="minorHAnsi"/>
          <w:sz w:val="22"/>
        </w:rPr>
      </w:pPr>
    </w:p>
    <w:p w14:paraId="21AFA746" w14:textId="77777777" w:rsidR="00C4204E" w:rsidRPr="00DE4359"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6AB0EA37" w14:textId="77777777" w:rsidR="00C4204E" w:rsidRPr="00DE4359" w:rsidRDefault="00C4204E" w:rsidP="00C4204E">
      <w:pPr>
        <w:spacing w:line="276" w:lineRule="auto"/>
        <w:rPr>
          <w:rFonts w:asciiTheme="minorHAnsi" w:hAnsiTheme="minorHAnsi" w:cstheme="minorHAnsi"/>
        </w:rPr>
      </w:pPr>
    </w:p>
    <w:p w14:paraId="20162C41" w14:textId="77777777" w:rsidR="00C4204E" w:rsidRPr="00DE4359" w:rsidRDefault="00C4204E" w:rsidP="00C4204E">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0DAC7F26" w14:textId="77777777" w:rsidR="00C4204E" w:rsidRPr="00DE4359" w:rsidRDefault="00C4204E" w:rsidP="00C4204E">
      <w:pPr>
        <w:spacing w:line="276" w:lineRule="auto"/>
        <w:jc w:val="both"/>
        <w:rPr>
          <w:rFonts w:asciiTheme="minorHAnsi" w:hAnsiTheme="minorHAnsi" w:cstheme="minorHAnsi"/>
          <w:sz w:val="22"/>
        </w:rPr>
      </w:pPr>
    </w:p>
    <w:p w14:paraId="2D969DDC" w14:textId="77777777" w:rsidR="00C4204E" w:rsidRPr="00DE4359" w:rsidRDefault="00C4204E" w:rsidP="00C4204E">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0632DE96" w14:textId="77777777" w:rsidR="00C4204E" w:rsidRPr="00DE4359" w:rsidRDefault="00C4204E" w:rsidP="00C4204E">
      <w:pPr>
        <w:pStyle w:val="Tekstpodstawowy"/>
        <w:spacing w:line="276" w:lineRule="auto"/>
        <w:rPr>
          <w:rFonts w:asciiTheme="minorHAnsi" w:hAnsiTheme="minorHAnsi" w:cstheme="minorHAnsi"/>
          <w:b/>
          <w:sz w:val="22"/>
        </w:rPr>
      </w:pPr>
    </w:p>
    <w:p w14:paraId="6891D5EA"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3DC85F67"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4B00D3C0"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79C844B6"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130103C3"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28FA1D3E" w14:textId="77777777" w:rsidR="00C4204E" w:rsidRPr="00DE4359" w:rsidRDefault="00C4204E" w:rsidP="00C4204E">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1E409F5A" w14:textId="77777777" w:rsidR="00C4204E" w:rsidRPr="00FA3145" w:rsidRDefault="00C4204E" w:rsidP="00C4204E">
      <w:pPr>
        <w:pStyle w:val="Tekstpodstawowy"/>
        <w:tabs>
          <w:tab w:val="clear" w:pos="142"/>
        </w:tabs>
        <w:spacing w:line="276" w:lineRule="auto"/>
        <w:rPr>
          <w:bCs/>
          <w:sz w:val="22"/>
        </w:rPr>
      </w:pPr>
    </w:p>
    <w:p w14:paraId="302E12A4" w14:textId="77777777" w:rsidR="00C4204E" w:rsidRPr="00DE4359"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lastRenderedPageBreak/>
        <w:t>POUCZENIE O ŚRODKACH ODWOŁAWCZYCH PRZYSŁUGUJĄCYCH WYKONAWCY W TOKU NINIEJSZEGO POSTĘPOWANIA O UDZIELENIE ZAMÓWIENIA</w:t>
      </w:r>
    </w:p>
    <w:p w14:paraId="728DFA56" w14:textId="77777777" w:rsidR="00C4204E" w:rsidRPr="00DE4359" w:rsidRDefault="00C4204E" w:rsidP="00C4204E">
      <w:pPr>
        <w:tabs>
          <w:tab w:val="left" w:pos="360"/>
        </w:tabs>
        <w:spacing w:line="276" w:lineRule="auto"/>
        <w:jc w:val="both"/>
        <w:rPr>
          <w:rFonts w:asciiTheme="minorHAnsi" w:hAnsiTheme="minorHAnsi" w:cstheme="minorHAnsi"/>
          <w:sz w:val="22"/>
        </w:rPr>
      </w:pPr>
    </w:p>
    <w:p w14:paraId="4BC9B080"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1384F0B3"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6E12C077"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606E9355"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0D1718B2"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4A1B1EF5"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0D7F82FC"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6FD0B930"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55D56C2"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58D60EBE" w14:textId="77777777" w:rsidR="00C4204E" w:rsidRPr="00DE4359" w:rsidRDefault="00C4204E" w:rsidP="00C4204E">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70066B1"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55705BB5" w14:textId="77777777" w:rsidR="00C4204E" w:rsidRPr="00DE4359" w:rsidRDefault="00C4204E" w:rsidP="00C4204E">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527B0C90" w14:textId="77777777" w:rsidR="00C4204E" w:rsidRPr="00D60631" w:rsidRDefault="00C4204E" w:rsidP="00C4204E">
      <w:pPr>
        <w:tabs>
          <w:tab w:val="left" w:pos="426"/>
        </w:tabs>
        <w:spacing w:line="276" w:lineRule="auto"/>
        <w:jc w:val="both"/>
        <w:rPr>
          <w:rFonts w:asciiTheme="minorHAnsi" w:hAnsiTheme="minorHAnsi" w:cstheme="minorHAnsi"/>
          <w:b/>
          <w:sz w:val="22"/>
        </w:rPr>
      </w:pPr>
    </w:p>
    <w:p w14:paraId="559DDA09" w14:textId="77777777" w:rsidR="00C4204E" w:rsidRPr="00D60631" w:rsidRDefault="00C4204E" w:rsidP="00C4204E">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23C2706D" w14:textId="77777777" w:rsidR="00C4204E" w:rsidRPr="00D60631" w:rsidRDefault="00C4204E" w:rsidP="00C4204E">
      <w:pPr>
        <w:pStyle w:val="Tekstpodstawowy"/>
        <w:spacing w:line="276" w:lineRule="auto"/>
        <w:rPr>
          <w:rFonts w:asciiTheme="minorHAnsi" w:hAnsiTheme="minorHAnsi" w:cstheme="minorHAnsi"/>
          <w:i/>
          <w:sz w:val="22"/>
          <w:szCs w:val="22"/>
        </w:rPr>
      </w:pPr>
    </w:p>
    <w:p w14:paraId="755FC150"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75881158"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000E63C5" w14:textId="77777777" w:rsidR="00C4204E" w:rsidRPr="00D60631" w:rsidRDefault="00C4204E" w:rsidP="00C4204E">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4316275A" w14:textId="77777777" w:rsidR="00C4204E" w:rsidRPr="00D60631" w:rsidRDefault="00C4204E" w:rsidP="00C4204E">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43F076AC" w14:textId="77777777" w:rsidR="00C4204E" w:rsidRPr="00E83257" w:rsidRDefault="00C4204E" w:rsidP="00C4204E">
      <w:pPr>
        <w:tabs>
          <w:tab w:val="left" w:pos="360"/>
        </w:tabs>
        <w:autoSpaceDE w:val="0"/>
        <w:autoSpaceDN w:val="0"/>
        <w:spacing w:line="276" w:lineRule="auto"/>
        <w:jc w:val="both"/>
        <w:rPr>
          <w:sz w:val="22"/>
        </w:rPr>
      </w:pPr>
    </w:p>
    <w:p w14:paraId="7B0576D4" w14:textId="77777777" w:rsidR="00C4204E" w:rsidRPr="00E83257" w:rsidRDefault="00C4204E" w:rsidP="00C4204E">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1BAC94C2" w14:textId="77777777" w:rsidR="00C4204E" w:rsidRPr="00E83257" w:rsidRDefault="00C4204E" w:rsidP="00C4204E">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C4204E" w:rsidRPr="00E83257" w14:paraId="64456DA4" w14:textId="77777777" w:rsidTr="004F67B7">
        <w:trPr>
          <w:trHeight w:val="333"/>
        </w:trPr>
        <w:tc>
          <w:tcPr>
            <w:tcW w:w="487" w:type="dxa"/>
            <w:tcBorders>
              <w:top w:val="single" w:sz="4" w:space="0" w:color="000000"/>
              <w:left w:val="single" w:sz="4" w:space="0" w:color="auto"/>
              <w:bottom w:val="single" w:sz="4" w:space="0" w:color="auto"/>
            </w:tcBorders>
          </w:tcPr>
          <w:p w14:paraId="46D3A620" w14:textId="77777777" w:rsidR="00C4204E" w:rsidRPr="00E83257" w:rsidRDefault="00C4204E" w:rsidP="004F67B7">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4098F6B0" w14:textId="77777777" w:rsidR="00C4204E" w:rsidRPr="00E83257" w:rsidRDefault="00C4204E" w:rsidP="004F67B7">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473C8857" w14:textId="77777777" w:rsidR="00C4204E" w:rsidRDefault="00C4204E" w:rsidP="004F67B7">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7847599A" w14:textId="77777777" w:rsidR="00C4204E" w:rsidRPr="00E83257" w:rsidRDefault="00C4204E" w:rsidP="004F67B7">
            <w:pPr>
              <w:keepNext/>
              <w:suppressAutoHyphens/>
              <w:snapToGrid w:val="0"/>
              <w:spacing w:line="276" w:lineRule="auto"/>
              <w:jc w:val="center"/>
              <w:outlineLvl w:val="2"/>
              <w:rPr>
                <w:b/>
                <w:bCs/>
                <w:sz w:val="22"/>
                <w:lang w:eastAsia="zh-CN"/>
              </w:rPr>
            </w:pPr>
          </w:p>
        </w:tc>
      </w:tr>
      <w:tr w:rsidR="00C4204E" w:rsidRPr="00E83257" w14:paraId="430C3B10" w14:textId="77777777" w:rsidTr="004F67B7">
        <w:trPr>
          <w:trHeight w:val="247"/>
        </w:trPr>
        <w:tc>
          <w:tcPr>
            <w:tcW w:w="487" w:type="dxa"/>
            <w:tcBorders>
              <w:top w:val="single" w:sz="4" w:space="0" w:color="auto"/>
              <w:left w:val="single" w:sz="4" w:space="0" w:color="auto"/>
              <w:bottom w:val="single" w:sz="4" w:space="0" w:color="000000"/>
            </w:tcBorders>
          </w:tcPr>
          <w:p w14:paraId="568C20CA" w14:textId="77777777" w:rsidR="00C4204E" w:rsidRPr="00E83257" w:rsidRDefault="00C4204E" w:rsidP="004F67B7">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58D2DB05" w14:textId="77777777" w:rsidR="00C4204E" w:rsidRPr="00E83257" w:rsidRDefault="00C4204E" w:rsidP="004F67B7">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2C292F67" w14:textId="77777777" w:rsidR="00C4204E" w:rsidRPr="00E83257" w:rsidRDefault="00C4204E" w:rsidP="004F67B7">
            <w:pPr>
              <w:keepNext/>
              <w:suppressAutoHyphens/>
              <w:snapToGrid w:val="0"/>
              <w:spacing w:line="276" w:lineRule="auto"/>
              <w:outlineLvl w:val="2"/>
              <w:rPr>
                <w:b/>
                <w:bCs/>
                <w:sz w:val="22"/>
                <w:lang w:eastAsia="zh-CN"/>
              </w:rPr>
            </w:pPr>
            <w:r>
              <w:rPr>
                <w:b/>
                <w:bCs/>
                <w:sz w:val="22"/>
                <w:lang w:eastAsia="zh-CN"/>
              </w:rPr>
              <w:t xml:space="preserve">Formularz Ofertowy </w:t>
            </w:r>
          </w:p>
        </w:tc>
      </w:tr>
      <w:tr w:rsidR="00C4204E" w:rsidRPr="00E83257" w14:paraId="31740E8E" w14:textId="77777777" w:rsidTr="004F67B7">
        <w:tc>
          <w:tcPr>
            <w:tcW w:w="487" w:type="dxa"/>
            <w:tcBorders>
              <w:top w:val="single" w:sz="4" w:space="0" w:color="000000"/>
              <w:left w:val="single" w:sz="4" w:space="0" w:color="000000"/>
              <w:bottom w:val="single" w:sz="4" w:space="0" w:color="000000"/>
            </w:tcBorders>
          </w:tcPr>
          <w:p w14:paraId="4742BAF1"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660A7921" w14:textId="77777777" w:rsidR="00C4204E" w:rsidRPr="00E83257" w:rsidRDefault="00C4204E" w:rsidP="004F67B7">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3AD5CF10" w14:textId="77777777" w:rsidR="00C4204E" w:rsidRPr="00E83257" w:rsidRDefault="00C4204E" w:rsidP="004F67B7">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37757E1E" w14:textId="77777777" w:rsidR="00C4204E" w:rsidRPr="00E83257" w:rsidRDefault="00C4204E" w:rsidP="004F67B7">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C4204E" w:rsidRPr="00E83257" w14:paraId="0EE9BA4D" w14:textId="77777777" w:rsidTr="004F67B7">
        <w:tc>
          <w:tcPr>
            <w:tcW w:w="487" w:type="dxa"/>
            <w:tcBorders>
              <w:top w:val="single" w:sz="4" w:space="0" w:color="000000"/>
              <w:left w:val="single" w:sz="4" w:space="0" w:color="000000"/>
              <w:bottom w:val="single" w:sz="4" w:space="0" w:color="000000"/>
            </w:tcBorders>
          </w:tcPr>
          <w:p w14:paraId="4C5F2644"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794BDFE2" w14:textId="77777777" w:rsidR="00C4204E" w:rsidRPr="00E83257" w:rsidRDefault="00C4204E" w:rsidP="004F67B7">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6ED8D17E" w14:textId="77777777" w:rsidR="00C4204E" w:rsidRPr="00E83257" w:rsidRDefault="00C4204E" w:rsidP="004F67B7">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C4204E" w:rsidRPr="00E83257" w14:paraId="09A0FD2A" w14:textId="77777777" w:rsidTr="004F67B7">
        <w:tc>
          <w:tcPr>
            <w:tcW w:w="487" w:type="dxa"/>
            <w:tcBorders>
              <w:top w:val="single" w:sz="4" w:space="0" w:color="000000"/>
              <w:left w:val="single" w:sz="4" w:space="0" w:color="000000"/>
              <w:bottom w:val="single" w:sz="4" w:space="0" w:color="000000"/>
            </w:tcBorders>
          </w:tcPr>
          <w:p w14:paraId="379CC243"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13D55737" w14:textId="77777777" w:rsidR="00C4204E" w:rsidRPr="00E83257" w:rsidRDefault="00C4204E" w:rsidP="004F67B7">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7A7F8868" w14:textId="77777777" w:rsidR="00C4204E" w:rsidRPr="00E83257" w:rsidRDefault="00C4204E" w:rsidP="004F67B7">
            <w:pPr>
              <w:suppressAutoHyphens/>
              <w:snapToGrid w:val="0"/>
              <w:spacing w:line="276" w:lineRule="auto"/>
              <w:jc w:val="both"/>
              <w:rPr>
                <w:sz w:val="22"/>
                <w:lang w:eastAsia="zh-CN"/>
              </w:rPr>
            </w:pPr>
            <w:r>
              <w:rPr>
                <w:sz w:val="22"/>
                <w:lang w:eastAsia="zh-CN"/>
              </w:rPr>
              <w:t>Projekt Umowy</w:t>
            </w:r>
          </w:p>
        </w:tc>
      </w:tr>
      <w:tr w:rsidR="00C4204E" w:rsidRPr="00E83257" w14:paraId="578ADAD5" w14:textId="77777777" w:rsidTr="004F67B7">
        <w:tc>
          <w:tcPr>
            <w:tcW w:w="487" w:type="dxa"/>
            <w:tcBorders>
              <w:top w:val="single" w:sz="4" w:space="0" w:color="000000"/>
              <w:left w:val="single" w:sz="4" w:space="0" w:color="000000"/>
              <w:bottom w:val="single" w:sz="4" w:space="0" w:color="000000"/>
            </w:tcBorders>
          </w:tcPr>
          <w:p w14:paraId="001CDFA5" w14:textId="77777777" w:rsidR="00C4204E" w:rsidRPr="00E83257" w:rsidRDefault="00C4204E" w:rsidP="004F67B7">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6EBC76EF" w14:textId="77777777" w:rsidR="00C4204E" w:rsidRPr="00E83257" w:rsidRDefault="00C4204E" w:rsidP="004F67B7">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4F2B9F4B" w14:textId="77777777" w:rsidR="00C4204E" w:rsidRPr="00E83257" w:rsidRDefault="00C4204E" w:rsidP="004F67B7">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04FA0E60" w14:textId="77777777" w:rsidR="00C4204E" w:rsidRDefault="00C4204E" w:rsidP="00C4204E">
      <w:pPr>
        <w:suppressAutoHyphens/>
        <w:snapToGrid w:val="0"/>
        <w:spacing w:line="276" w:lineRule="auto"/>
        <w:rPr>
          <w:sz w:val="24"/>
          <w:szCs w:val="22"/>
          <w:lang w:eastAsia="zh-CN"/>
        </w:rPr>
      </w:pPr>
    </w:p>
    <w:p w14:paraId="0806290F" w14:textId="77777777" w:rsidR="00C4204E" w:rsidRDefault="00C4204E" w:rsidP="00C4204E">
      <w:pPr>
        <w:suppressAutoHyphens/>
        <w:snapToGrid w:val="0"/>
        <w:spacing w:line="276" w:lineRule="auto"/>
        <w:rPr>
          <w:color w:val="FF0000"/>
          <w:sz w:val="22"/>
          <w:szCs w:val="22"/>
        </w:rPr>
      </w:pPr>
    </w:p>
    <w:p w14:paraId="6F61D00E" w14:textId="77777777" w:rsidR="00C4204E" w:rsidRDefault="00C4204E" w:rsidP="00C4204E">
      <w:pPr>
        <w:suppressAutoHyphens/>
        <w:snapToGrid w:val="0"/>
        <w:spacing w:line="276" w:lineRule="auto"/>
        <w:rPr>
          <w:color w:val="FF0000"/>
          <w:sz w:val="22"/>
          <w:szCs w:val="22"/>
        </w:rPr>
      </w:pPr>
    </w:p>
    <w:p w14:paraId="16779E5A" w14:textId="77777777" w:rsidR="00C4204E" w:rsidRDefault="00C4204E" w:rsidP="00C4204E">
      <w:pPr>
        <w:suppressAutoHyphens/>
        <w:snapToGrid w:val="0"/>
        <w:spacing w:line="276" w:lineRule="auto"/>
        <w:rPr>
          <w:color w:val="FF0000"/>
          <w:sz w:val="22"/>
          <w:szCs w:val="22"/>
        </w:rPr>
      </w:pPr>
    </w:p>
    <w:p w14:paraId="0602A084" w14:textId="77777777" w:rsidR="00C4204E" w:rsidRDefault="00C4204E" w:rsidP="00C4204E">
      <w:pPr>
        <w:suppressAutoHyphens/>
        <w:snapToGrid w:val="0"/>
        <w:spacing w:line="276" w:lineRule="auto"/>
        <w:rPr>
          <w:color w:val="FF0000"/>
          <w:sz w:val="22"/>
          <w:szCs w:val="22"/>
        </w:rPr>
      </w:pPr>
    </w:p>
    <w:p w14:paraId="2DD495D0" w14:textId="77777777" w:rsidR="00C4204E" w:rsidRDefault="00C4204E" w:rsidP="00C4204E">
      <w:pPr>
        <w:suppressAutoHyphens/>
        <w:snapToGrid w:val="0"/>
        <w:spacing w:line="276" w:lineRule="auto"/>
        <w:rPr>
          <w:color w:val="FF0000"/>
          <w:sz w:val="22"/>
          <w:szCs w:val="22"/>
        </w:rPr>
      </w:pPr>
    </w:p>
    <w:p w14:paraId="4F840655" w14:textId="77777777" w:rsidR="00C4204E" w:rsidRDefault="00C4204E" w:rsidP="00C4204E"/>
    <w:p w14:paraId="75AFA1C8"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3EEF" w14:textId="77777777" w:rsidR="00F524E5" w:rsidRDefault="00F524E5" w:rsidP="00C4204E">
      <w:r>
        <w:separator/>
      </w:r>
    </w:p>
  </w:endnote>
  <w:endnote w:type="continuationSeparator" w:id="0">
    <w:p w14:paraId="752FA4AA" w14:textId="77777777" w:rsidR="00F524E5" w:rsidRDefault="00F524E5" w:rsidP="00C4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0ACE" w14:textId="77777777" w:rsidR="00F524E5" w:rsidRDefault="00F524E5" w:rsidP="00C4204E">
      <w:r>
        <w:separator/>
      </w:r>
    </w:p>
  </w:footnote>
  <w:footnote w:type="continuationSeparator" w:id="0">
    <w:p w14:paraId="755275A2" w14:textId="77777777" w:rsidR="00F524E5" w:rsidRDefault="00F524E5" w:rsidP="00C4204E">
      <w:r>
        <w:continuationSeparator/>
      </w:r>
    </w:p>
  </w:footnote>
  <w:footnote w:id="1">
    <w:p w14:paraId="19115CD5" w14:textId="77777777" w:rsidR="00C4204E" w:rsidRDefault="00C4204E" w:rsidP="00C4204E">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A2307DB" w14:textId="77777777" w:rsidR="00C4204E" w:rsidRDefault="00C4204E" w:rsidP="00C4204E">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4E"/>
    <w:rsid w:val="001B65EC"/>
    <w:rsid w:val="001D554E"/>
    <w:rsid w:val="003113FA"/>
    <w:rsid w:val="00497E71"/>
    <w:rsid w:val="004F67B7"/>
    <w:rsid w:val="00646295"/>
    <w:rsid w:val="00771885"/>
    <w:rsid w:val="00832BB3"/>
    <w:rsid w:val="008D122D"/>
    <w:rsid w:val="00A53F1D"/>
    <w:rsid w:val="00A604AB"/>
    <w:rsid w:val="00A7260D"/>
    <w:rsid w:val="00AD18B5"/>
    <w:rsid w:val="00AE36D7"/>
    <w:rsid w:val="00B13A35"/>
    <w:rsid w:val="00B8356B"/>
    <w:rsid w:val="00C4204E"/>
    <w:rsid w:val="00CF5C82"/>
    <w:rsid w:val="00D26DCC"/>
    <w:rsid w:val="00F524E5"/>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391D"/>
  <w15:chartTrackingRefBased/>
  <w15:docId w15:val="{E7F042F4-0767-43E0-9B74-7D5A54C6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04E"/>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C4204E"/>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C4204E"/>
    <w:rPr>
      <w:rFonts w:ascii="Times New Roman" w:eastAsia="Times New Roman" w:hAnsi="Times New Roman" w:cs="Times New Roman"/>
      <w:sz w:val="28"/>
      <w:lang w:eastAsia="pl-PL"/>
    </w:rPr>
  </w:style>
  <w:style w:type="character" w:styleId="Hipercze">
    <w:name w:val="Hyperlink"/>
    <w:uiPriority w:val="99"/>
    <w:rsid w:val="00C4204E"/>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C4204E"/>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C4204E"/>
    <w:rPr>
      <w:rFonts w:ascii="Times New Roman" w:eastAsia="Times New Roman" w:hAnsi="Times New Roman" w:cs="Times New Roman"/>
      <w:lang w:eastAsia="pl-PL"/>
    </w:rPr>
  </w:style>
  <w:style w:type="character" w:styleId="Odwoanieprzypisudolnego">
    <w:name w:val="footnote reference"/>
    <w:uiPriority w:val="99"/>
    <w:rsid w:val="00C4204E"/>
    <w:rPr>
      <w:vertAlign w:val="superscript"/>
    </w:rPr>
  </w:style>
  <w:style w:type="paragraph" w:customStyle="1" w:styleId="1">
    <w:name w:val="1."/>
    <w:basedOn w:val="Normalny"/>
    <w:rsid w:val="00C4204E"/>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20</Pages>
  <Words>7449</Words>
  <Characters>44694</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5</cp:revision>
  <cp:lastPrinted>2025-10-16T05:54:00Z</cp:lastPrinted>
  <dcterms:created xsi:type="dcterms:W3CDTF">2025-10-15T06:21:00Z</dcterms:created>
  <dcterms:modified xsi:type="dcterms:W3CDTF">2025-10-16T05:56:00Z</dcterms:modified>
</cp:coreProperties>
</file>