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2549" w14:textId="77777777" w:rsidR="00312642" w:rsidRPr="00090E34" w:rsidRDefault="00312642" w:rsidP="00312642">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5C2B488B" w14:textId="77777777" w:rsidR="00312642" w:rsidRPr="00090E34" w:rsidRDefault="00312642" w:rsidP="00312642">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038AF356" w14:textId="77777777" w:rsidR="00312642" w:rsidRPr="00090E34" w:rsidRDefault="00312642" w:rsidP="00312642">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04A5E0DE" w14:textId="77777777" w:rsidR="00312642" w:rsidRPr="00090E34" w:rsidRDefault="00312642" w:rsidP="00312642">
      <w:pPr>
        <w:spacing w:line="276" w:lineRule="auto"/>
        <w:jc w:val="both"/>
        <w:rPr>
          <w:rFonts w:asciiTheme="minorHAnsi" w:hAnsiTheme="minorHAnsi" w:cstheme="minorHAnsi"/>
          <w:b/>
          <w:sz w:val="32"/>
        </w:rPr>
      </w:pPr>
    </w:p>
    <w:p w14:paraId="6AB06815" w14:textId="77777777" w:rsidR="00312642" w:rsidRPr="00090E34" w:rsidRDefault="00312642" w:rsidP="00312642">
      <w:pPr>
        <w:spacing w:line="276" w:lineRule="auto"/>
        <w:jc w:val="both"/>
        <w:rPr>
          <w:rFonts w:asciiTheme="minorHAnsi" w:hAnsiTheme="minorHAnsi" w:cstheme="minorHAnsi"/>
          <w:b/>
          <w:sz w:val="32"/>
        </w:rPr>
      </w:pPr>
    </w:p>
    <w:p w14:paraId="0C95D9C1" w14:textId="77777777" w:rsidR="00312642" w:rsidRPr="00090E34" w:rsidRDefault="00312642" w:rsidP="00312642">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6BCF78B5" w14:textId="77777777" w:rsidR="00312642" w:rsidRDefault="00312642" w:rsidP="00312642">
      <w:pPr>
        <w:tabs>
          <w:tab w:val="left" w:pos="142"/>
        </w:tabs>
        <w:spacing w:line="276" w:lineRule="auto"/>
        <w:jc w:val="center"/>
        <w:rPr>
          <w:b/>
          <w:sz w:val="28"/>
        </w:rPr>
      </w:pPr>
    </w:p>
    <w:p w14:paraId="1156AF6B" w14:textId="77777777" w:rsidR="00312642" w:rsidRDefault="00312642" w:rsidP="00312642">
      <w:pPr>
        <w:tabs>
          <w:tab w:val="left" w:pos="142"/>
        </w:tabs>
        <w:spacing w:line="276" w:lineRule="auto"/>
        <w:jc w:val="center"/>
        <w:rPr>
          <w:b/>
          <w:sz w:val="28"/>
        </w:rPr>
      </w:pPr>
    </w:p>
    <w:p w14:paraId="4594527E" w14:textId="77777777" w:rsidR="00312642" w:rsidRPr="00EE72F9" w:rsidRDefault="00312642" w:rsidP="00312642">
      <w:pPr>
        <w:tabs>
          <w:tab w:val="left" w:pos="142"/>
        </w:tabs>
        <w:spacing w:line="276" w:lineRule="auto"/>
        <w:jc w:val="center"/>
        <w:rPr>
          <w:b/>
          <w:sz w:val="28"/>
        </w:rPr>
      </w:pPr>
    </w:p>
    <w:p w14:paraId="662D9592" w14:textId="77777777" w:rsidR="00312642" w:rsidRPr="00EE72F9" w:rsidRDefault="00312642" w:rsidP="00312642">
      <w:pPr>
        <w:tabs>
          <w:tab w:val="left" w:pos="142"/>
        </w:tabs>
        <w:spacing w:line="276" w:lineRule="auto"/>
        <w:jc w:val="center"/>
        <w:rPr>
          <w:b/>
          <w:sz w:val="28"/>
        </w:rPr>
      </w:pPr>
    </w:p>
    <w:p w14:paraId="7DCFEE28" w14:textId="53C6DBEC" w:rsidR="00312642" w:rsidRPr="00744118" w:rsidRDefault="00312642" w:rsidP="00312642">
      <w:pPr>
        <w:spacing w:line="276" w:lineRule="auto"/>
        <w:ind w:left="360"/>
        <w:jc w:val="center"/>
        <w:rPr>
          <w:b/>
          <w:bCs/>
          <w:i/>
          <w:sz w:val="44"/>
          <w:szCs w:val="28"/>
        </w:rPr>
      </w:pPr>
      <w:r w:rsidRPr="00EE72F9">
        <w:rPr>
          <w:b/>
          <w:bCs/>
          <w:sz w:val="44"/>
          <w:szCs w:val="28"/>
        </w:rPr>
        <w:t>„</w:t>
      </w:r>
      <w:r>
        <w:rPr>
          <w:b/>
          <w:bCs/>
          <w:i/>
          <w:sz w:val="44"/>
          <w:szCs w:val="28"/>
        </w:rPr>
        <w:t xml:space="preserve">Zakup i dostawa 4 szt. mobilnych agregatów prądotwórczych </w:t>
      </w:r>
      <w:r w:rsidRPr="00744118">
        <w:rPr>
          <w:b/>
          <w:bCs/>
          <w:i/>
          <w:sz w:val="44"/>
          <w:szCs w:val="28"/>
        </w:rPr>
        <w:t>w ramach Programu Ochrony Ludności i Obrony Cywilnej</w:t>
      </w:r>
      <w:r>
        <w:rPr>
          <w:b/>
          <w:bCs/>
          <w:i/>
          <w:sz w:val="44"/>
          <w:szCs w:val="28"/>
        </w:rPr>
        <w:t xml:space="preserve"> </w:t>
      </w:r>
      <w:r w:rsidRPr="00EE72F9">
        <w:rPr>
          <w:b/>
          <w:bCs/>
          <w:sz w:val="44"/>
          <w:szCs w:val="28"/>
        </w:rPr>
        <w:t>”</w:t>
      </w:r>
      <w:r>
        <w:rPr>
          <w:b/>
          <w:bCs/>
          <w:sz w:val="44"/>
          <w:szCs w:val="28"/>
        </w:rPr>
        <w:t>- czwarte postępowanie.</w:t>
      </w:r>
    </w:p>
    <w:p w14:paraId="2CF078DB" w14:textId="77777777" w:rsidR="00312642" w:rsidRPr="00EE72F9" w:rsidRDefault="00312642" w:rsidP="00312642">
      <w:pPr>
        <w:keepNext/>
        <w:spacing w:line="276" w:lineRule="auto"/>
        <w:jc w:val="center"/>
        <w:outlineLvl w:val="6"/>
        <w:rPr>
          <w:b/>
          <w:sz w:val="32"/>
        </w:rPr>
      </w:pPr>
    </w:p>
    <w:p w14:paraId="20593B02" w14:textId="77777777" w:rsidR="00312642" w:rsidRPr="00EE72F9" w:rsidRDefault="00312642" w:rsidP="00312642">
      <w:pPr>
        <w:spacing w:line="276" w:lineRule="auto"/>
      </w:pPr>
    </w:p>
    <w:p w14:paraId="1A398037" w14:textId="77777777" w:rsidR="00312642" w:rsidRPr="00EE72F9" w:rsidRDefault="00312642" w:rsidP="00312642">
      <w:pPr>
        <w:spacing w:line="276" w:lineRule="auto"/>
      </w:pPr>
    </w:p>
    <w:p w14:paraId="2AF87235" w14:textId="1FF80332" w:rsidR="00312642" w:rsidRPr="00EE72F9" w:rsidRDefault="00312642" w:rsidP="00312642">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2.14</w:t>
      </w:r>
      <w:r w:rsidRPr="000C260F">
        <w:rPr>
          <w:b/>
          <w:bCs/>
          <w:sz w:val="24"/>
        </w:rPr>
        <w:t>.202</w:t>
      </w:r>
      <w:r>
        <w:rPr>
          <w:b/>
          <w:bCs/>
          <w:sz w:val="24"/>
        </w:rPr>
        <w:t>5</w:t>
      </w:r>
    </w:p>
    <w:p w14:paraId="184225E3" w14:textId="77777777" w:rsidR="00312642" w:rsidRPr="00EE72F9" w:rsidRDefault="00312642" w:rsidP="00312642">
      <w:pPr>
        <w:spacing w:line="276" w:lineRule="auto"/>
      </w:pPr>
    </w:p>
    <w:p w14:paraId="3CB425A5" w14:textId="77777777" w:rsidR="00312642" w:rsidRPr="00EE72F9" w:rsidRDefault="00312642" w:rsidP="00312642">
      <w:pPr>
        <w:spacing w:line="276" w:lineRule="auto"/>
        <w:jc w:val="center"/>
      </w:pPr>
    </w:p>
    <w:p w14:paraId="6614FCE9" w14:textId="77777777" w:rsidR="00312642" w:rsidRPr="00EE72F9" w:rsidRDefault="00312642" w:rsidP="00312642">
      <w:pPr>
        <w:spacing w:line="276" w:lineRule="auto"/>
        <w:jc w:val="center"/>
      </w:pPr>
    </w:p>
    <w:p w14:paraId="4E376BE8" w14:textId="77777777" w:rsidR="00312642" w:rsidRPr="00EE72F9" w:rsidRDefault="00312642" w:rsidP="00312642">
      <w:pPr>
        <w:spacing w:line="276" w:lineRule="auto"/>
        <w:jc w:val="center"/>
      </w:pPr>
    </w:p>
    <w:p w14:paraId="3F338763" w14:textId="77777777" w:rsidR="00312642" w:rsidRPr="00EE72F9" w:rsidRDefault="00312642" w:rsidP="00312642">
      <w:pPr>
        <w:autoSpaceDE w:val="0"/>
        <w:autoSpaceDN w:val="0"/>
        <w:spacing w:line="276" w:lineRule="auto"/>
        <w:ind w:left="6372"/>
        <w:jc w:val="center"/>
        <w:rPr>
          <w:b/>
          <w:bCs/>
          <w:sz w:val="32"/>
          <w:szCs w:val="28"/>
        </w:rPr>
      </w:pPr>
      <w:r w:rsidRPr="00EE72F9">
        <w:rPr>
          <w:b/>
          <w:bCs/>
          <w:sz w:val="32"/>
          <w:szCs w:val="28"/>
        </w:rPr>
        <w:t xml:space="preserve">ZATWIERDZIŁ: </w:t>
      </w:r>
    </w:p>
    <w:p w14:paraId="36DDAE38" w14:textId="45A0B11A" w:rsidR="00312642" w:rsidRPr="00303E48" w:rsidRDefault="00312642" w:rsidP="00312642">
      <w:pPr>
        <w:autoSpaceDE w:val="0"/>
        <w:autoSpaceDN w:val="0"/>
        <w:spacing w:line="276" w:lineRule="auto"/>
        <w:jc w:val="both"/>
        <w:rPr>
          <w:rFonts w:asciiTheme="minorHAnsi" w:hAnsiTheme="minorHAnsi" w:cstheme="minorHAnsi"/>
          <w:b/>
          <w:bCs/>
          <w:sz w:val="24"/>
          <w:szCs w:val="24"/>
        </w:rPr>
      </w:pPr>
      <w:r w:rsidRPr="00303E48">
        <w:rPr>
          <w:rFonts w:asciiTheme="minorHAnsi" w:hAnsiTheme="minorHAnsi" w:cstheme="minorHAnsi"/>
          <w:b/>
          <w:bCs/>
          <w:sz w:val="32"/>
          <w:szCs w:val="28"/>
        </w:rPr>
        <w:t xml:space="preserve">                         </w:t>
      </w:r>
      <w:r w:rsidRPr="00303E48">
        <w:rPr>
          <w:rFonts w:asciiTheme="minorHAnsi" w:hAnsiTheme="minorHAnsi" w:cstheme="minorHAnsi"/>
          <w:b/>
          <w:bCs/>
          <w:sz w:val="24"/>
          <w:szCs w:val="24"/>
        </w:rPr>
        <w:t xml:space="preserve">                                                        </w:t>
      </w:r>
      <w:r w:rsidR="00303E48" w:rsidRPr="00303E48">
        <w:rPr>
          <w:rFonts w:asciiTheme="minorHAnsi" w:hAnsiTheme="minorHAnsi" w:cstheme="minorHAnsi"/>
          <w:b/>
          <w:bCs/>
          <w:sz w:val="24"/>
          <w:szCs w:val="24"/>
        </w:rPr>
        <w:t xml:space="preserve">                 </w:t>
      </w:r>
      <w:r w:rsidRPr="00303E48">
        <w:rPr>
          <w:rFonts w:asciiTheme="minorHAnsi" w:hAnsiTheme="minorHAnsi" w:cstheme="minorHAnsi"/>
          <w:b/>
          <w:bCs/>
          <w:sz w:val="24"/>
          <w:szCs w:val="24"/>
        </w:rPr>
        <w:t xml:space="preserve">  </w:t>
      </w:r>
      <w:r w:rsidR="00303E48">
        <w:rPr>
          <w:rFonts w:asciiTheme="minorHAnsi" w:hAnsiTheme="minorHAnsi" w:cstheme="minorHAnsi"/>
          <w:b/>
          <w:bCs/>
          <w:sz w:val="24"/>
          <w:szCs w:val="24"/>
        </w:rPr>
        <w:t xml:space="preserve">             </w:t>
      </w:r>
      <w:r w:rsidR="00303E48" w:rsidRPr="00303E48">
        <w:rPr>
          <w:rFonts w:asciiTheme="minorHAnsi" w:hAnsiTheme="minorHAnsi" w:cstheme="minorHAnsi"/>
          <w:b/>
          <w:bCs/>
          <w:sz w:val="24"/>
          <w:szCs w:val="24"/>
        </w:rPr>
        <w:t xml:space="preserve"> Wójt Gminy Ślemień </w:t>
      </w:r>
    </w:p>
    <w:p w14:paraId="10B75101" w14:textId="7877A052" w:rsidR="00303E48" w:rsidRPr="00303E48" w:rsidRDefault="00303E48" w:rsidP="00312642">
      <w:pPr>
        <w:autoSpaceDE w:val="0"/>
        <w:autoSpaceDN w:val="0"/>
        <w:spacing w:line="276" w:lineRule="auto"/>
        <w:jc w:val="both"/>
        <w:rPr>
          <w:rFonts w:asciiTheme="minorHAnsi" w:hAnsiTheme="minorHAnsi" w:cstheme="minorHAnsi"/>
          <w:b/>
          <w:bCs/>
          <w:sz w:val="24"/>
          <w:szCs w:val="24"/>
        </w:rPr>
      </w:pPr>
      <w:r w:rsidRPr="00303E48">
        <w:rPr>
          <w:rFonts w:asciiTheme="minorHAnsi" w:hAnsiTheme="minorHAnsi" w:cstheme="minorHAnsi"/>
          <w:b/>
          <w:bCs/>
          <w:sz w:val="24"/>
          <w:szCs w:val="24"/>
        </w:rPr>
        <w:t xml:space="preserve">                                                                                                                                Jarosław Krzak</w:t>
      </w:r>
    </w:p>
    <w:p w14:paraId="7171583B" w14:textId="77777777" w:rsidR="00312642" w:rsidRPr="00EE72F9" w:rsidRDefault="00312642" w:rsidP="00312642">
      <w:pPr>
        <w:autoSpaceDE w:val="0"/>
        <w:autoSpaceDN w:val="0"/>
        <w:spacing w:line="276" w:lineRule="auto"/>
        <w:ind w:firstLine="7"/>
        <w:jc w:val="center"/>
        <w:rPr>
          <w:sz w:val="32"/>
          <w:szCs w:val="28"/>
        </w:rPr>
      </w:pPr>
    </w:p>
    <w:p w14:paraId="2452D0FD" w14:textId="77777777" w:rsidR="00312642" w:rsidRDefault="00312642" w:rsidP="00312642">
      <w:pPr>
        <w:autoSpaceDE w:val="0"/>
        <w:autoSpaceDN w:val="0"/>
        <w:spacing w:line="276" w:lineRule="auto"/>
        <w:ind w:firstLine="7"/>
        <w:jc w:val="center"/>
        <w:rPr>
          <w:sz w:val="32"/>
          <w:szCs w:val="28"/>
        </w:rPr>
      </w:pPr>
    </w:p>
    <w:p w14:paraId="18282FA3" w14:textId="77777777" w:rsidR="00312642" w:rsidRDefault="00312642" w:rsidP="00312642">
      <w:pPr>
        <w:autoSpaceDE w:val="0"/>
        <w:autoSpaceDN w:val="0"/>
        <w:spacing w:line="276" w:lineRule="auto"/>
        <w:ind w:firstLine="7"/>
        <w:jc w:val="center"/>
        <w:rPr>
          <w:sz w:val="32"/>
          <w:szCs w:val="28"/>
        </w:rPr>
      </w:pPr>
    </w:p>
    <w:p w14:paraId="58B83CC1" w14:textId="77777777" w:rsidR="00312642" w:rsidRDefault="00312642" w:rsidP="00312642">
      <w:pPr>
        <w:autoSpaceDE w:val="0"/>
        <w:autoSpaceDN w:val="0"/>
        <w:spacing w:line="276" w:lineRule="auto"/>
        <w:ind w:firstLine="7"/>
        <w:jc w:val="center"/>
        <w:rPr>
          <w:sz w:val="32"/>
          <w:szCs w:val="28"/>
        </w:rPr>
      </w:pPr>
    </w:p>
    <w:p w14:paraId="21F5DC9E" w14:textId="3C1A1FAB" w:rsidR="00312642" w:rsidRPr="005F0971" w:rsidRDefault="00312642" w:rsidP="00303E48">
      <w:pPr>
        <w:autoSpaceDE w:val="0"/>
        <w:autoSpaceDN w:val="0"/>
        <w:spacing w:line="276" w:lineRule="auto"/>
        <w:rPr>
          <w:sz w:val="22"/>
        </w:rPr>
      </w:pPr>
    </w:p>
    <w:p w14:paraId="701D6E97" w14:textId="51D5A3B2" w:rsidR="00312642" w:rsidRPr="005F0971" w:rsidRDefault="00312642" w:rsidP="00312642">
      <w:pPr>
        <w:autoSpaceDE w:val="0"/>
        <w:autoSpaceDN w:val="0"/>
        <w:spacing w:line="276" w:lineRule="auto"/>
        <w:ind w:firstLine="7"/>
        <w:jc w:val="center"/>
        <w:rPr>
          <w:sz w:val="22"/>
        </w:rPr>
      </w:pPr>
      <w:r>
        <w:rPr>
          <w:sz w:val="22"/>
        </w:rPr>
        <w:t>18</w:t>
      </w:r>
      <w:r w:rsidRPr="005F0971">
        <w:rPr>
          <w:sz w:val="22"/>
        </w:rPr>
        <w:t xml:space="preserve"> </w:t>
      </w:r>
      <w:r>
        <w:rPr>
          <w:sz w:val="22"/>
        </w:rPr>
        <w:t>listopada</w:t>
      </w:r>
      <w:r w:rsidRPr="005F0971">
        <w:rPr>
          <w:sz w:val="22"/>
        </w:rPr>
        <w:t xml:space="preserve"> 2025 roku</w:t>
      </w:r>
    </w:p>
    <w:p w14:paraId="342884DA" w14:textId="77777777" w:rsidR="00312642" w:rsidRPr="00EE72F9" w:rsidRDefault="00312642" w:rsidP="00312642">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117D6B8D" w14:textId="77777777" w:rsidR="00312642" w:rsidRPr="00EE72F9" w:rsidRDefault="00312642" w:rsidP="00312642">
      <w:pPr>
        <w:spacing w:line="276" w:lineRule="auto"/>
        <w:rPr>
          <w:b/>
          <w:bCs/>
          <w:sz w:val="22"/>
        </w:rPr>
      </w:pPr>
    </w:p>
    <w:p w14:paraId="1393B739" w14:textId="77777777" w:rsidR="00312642" w:rsidRPr="00EE72F9" w:rsidRDefault="00312642" w:rsidP="00312642">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312642" w:rsidRPr="00FD67DC" w14:paraId="589E932D" w14:textId="77777777" w:rsidTr="0039139D">
        <w:trPr>
          <w:tblCellSpacing w:w="0" w:type="dxa"/>
        </w:trPr>
        <w:tc>
          <w:tcPr>
            <w:tcW w:w="5000" w:type="pct"/>
            <w:gridSpan w:val="3"/>
            <w:vAlign w:val="center"/>
          </w:tcPr>
          <w:p w14:paraId="24E8C59F" w14:textId="77777777" w:rsidR="00312642" w:rsidRPr="00FD67DC" w:rsidRDefault="00312642" w:rsidP="0039139D">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10F23C48" w14:textId="77777777" w:rsidR="00312642" w:rsidRPr="00FD67DC" w:rsidRDefault="00312642" w:rsidP="0039139D">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37FF4FA1" w14:textId="77777777" w:rsidR="00312642" w:rsidRPr="00FD67DC" w:rsidRDefault="00312642" w:rsidP="0039139D">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312642" w:rsidRPr="00FD67DC" w14:paraId="55E2E779"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56810E52"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300F4BFD"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312642" w:rsidRPr="00FD67DC" w14:paraId="71803F9E"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CD7007E"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5F3AE56C"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312642" w:rsidRPr="00FD67DC" w14:paraId="70C564F9"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0157301"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31E9C8B4" w14:textId="77777777" w:rsidR="00312642" w:rsidRPr="00FD67DC" w:rsidRDefault="00312642" w:rsidP="0039139D">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312642" w:rsidRPr="00FD67DC" w14:paraId="54698F67"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5FBF9E83"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553103BF"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312642" w:rsidRPr="00FD67DC" w14:paraId="6870EAA6" w14:textId="77777777" w:rsidTr="0039139D">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70AF3429"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0C710F9E"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4EE6E2BB" w14:textId="77777777" w:rsidR="00312642" w:rsidRPr="00FD67DC" w:rsidRDefault="00312642" w:rsidP="00312642">
      <w:pPr>
        <w:tabs>
          <w:tab w:val="left" w:pos="567"/>
        </w:tabs>
        <w:spacing w:line="276" w:lineRule="auto"/>
        <w:ind w:right="1"/>
        <w:jc w:val="both"/>
        <w:rPr>
          <w:rFonts w:asciiTheme="minorHAnsi" w:hAnsiTheme="minorHAnsi" w:cstheme="minorHAnsi"/>
          <w:color w:val="0070C0"/>
          <w:sz w:val="22"/>
          <w:szCs w:val="22"/>
        </w:rPr>
      </w:pPr>
    </w:p>
    <w:p w14:paraId="0A950684" w14:textId="77777777" w:rsidR="00312642" w:rsidRPr="00FD67DC" w:rsidRDefault="00312642" w:rsidP="00312642">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12279C9F" w14:textId="2D584693" w:rsidR="00312642" w:rsidRPr="00FD67DC" w:rsidRDefault="00312642" w:rsidP="00312642">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00A831D4" w:rsidRPr="00A831D4">
        <w:t>ocds-148610-</w:t>
      </w:r>
      <w:r w:rsidR="00A831D4" w:rsidRPr="00A831D4">
        <w:t xml:space="preserve"> </w:t>
      </w:r>
      <w:r w:rsidR="00A831D4" w:rsidRPr="00A831D4">
        <w:t>a70b03da-2fe1-4331-86fb-386b18bac562</w:t>
      </w:r>
    </w:p>
    <w:p w14:paraId="14B028C0" w14:textId="68053F8D" w:rsidR="00312642" w:rsidRPr="00FD67DC" w:rsidRDefault="00312642" w:rsidP="00312642">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A831D4" w:rsidRPr="00A831D4">
        <w:t>ocds-148610-a70b03da-2fe1-4331-86fb-386b18bac562</w:t>
      </w:r>
    </w:p>
    <w:p w14:paraId="45180EF0" w14:textId="77777777" w:rsidR="00312642" w:rsidRPr="00FD67DC" w:rsidRDefault="00312642" w:rsidP="00312642">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4701E813" w14:textId="77777777" w:rsidR="00312642" w:rsidRPr="00FD67DC" w:rsidRDefault="00312642" w:rsidP="00312642">
      <w:pPr>
        <w:tabs>
          <w:tab w:val="left" w:pos="142"/>
        </w:tabs>
        <w:spacing w:line="276" w:lineRule="auto"/>
        <w:jc w:val="both"/>
        <w:rPr>
          <w:rFonts w:asciiTheme="minorHAnsi" w:hAnsiTheme="minorHAnsi" w:cstheme="minorHAnsi"/>
          <w:b/>
          <w:bCs/>
          <w:color w:val="FF0000"/>
          <w:sz w:val="22"/>
          <w:szCs w:val="22"/>
        </w:rPr>
      </w:pPr>
    </w:p>
    <w:p w14:paraId="2F310768" w14:textId="77777777" w:rsidR="00312642" w:rsidRPr="00B04520" w:rsidRDefault="00312642" w:rsidP="00312642">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06F5E6D8" w14:textId="77777777" w:rsidR="00312642" w:rsidRPr="00B04520" w:rsidRDefault="00312642" w:rsidP="00312642">
      <w:pPr>
        <w:tabs>
          <w:tab w:val="left" w:pos="142"/>
        </w:tabs>
        <w:spacing w:line="276" w:lineRule="auto"/>
        <w:jc w:val="both"/>
        <w:rPr>
          <w:rFonts w:asciiTheme="minorHAnsi" w:hAnsiTheme="minorHAnsi" w:cstheme="minorHAnsi"/>
          <w:b/>
          <w:sz w:val="22"/>
          <w:szCs w:val="22"/>
        </w:rPr>
      </w:pPr>
      <w:r>
        <w:rPr>
          <w:rFonts w:asciiTheme="minorHAnsi" w:hAnsiTheme="minorHAnsi" w:cstheme="minorHAnsi"/>
          <w:b/>
          <w:sz w:val="22"/>
          <w:szCs w:val="22"/>
        </w:rPr>
        <w:t>311220000-7 – Jednostki prądotwórcze</w:t>
      </w:r>
    </w:p>
    <w:p w14:paraId="22A59994" w14:textId="77777777" w:rsidR="00312642" w:rsidRPr="00744118" w:rsidRDefault="00312642" w:rsidP="00312642">
      <w:pPr>
        <w:tabs>
          <w:tab w:val="left" w:pos="142"/>
        </w:tabs>
        <w:spacing w:line="276" w:lineRule="auto"/>
        <w:jc w:val="both"/>
        <w:rPr>
          <w:rFonts w:asciiTheme="minorHAnsi" w:hAnsiTheme="minorHAnsi" w:cstheme="minorHAnsi"/>
          <w:b/>
          <w:bCs/>
          <w:sz w:val="22"/>
          <w:szCs w:val="22"/>
        </w:rPr>
      </w:pPr>
      <w:r w:rsidRPr="00744118">
        <w:rPr>
          <w:rFonts w:asciiTheme="minorHAnsi" w:hAnsiTheme="minorHAnsi" w:cstheme="minorHAnsi"/>
          <w:sz w:val="22"/>
          <w:szCs w:val="22"/>
        </w:rPr>
        <w:t>34223300-9    - Przyczepy</w:t>
      </w:r>
    </w:p>
    <w:p w14:paraId="46018394" w14:textId="77777777" w:rsidR="00312642" w:rsidRPr="00C36114" w:rsidRDefault="00312642" w:rsidP="00312642">
      <w:pPr>
        <w:tabs>
          <w:tab w:val="left" w:pos="142"/>
        </w:tabs>
        <w:spacing w:line="276" w:lineRule="auto"/>
        <w:jc w:val="both"/>
        <w:rPr>
          <w:rFonts w:asciiTheme="minorHAnsi" w:hAnsiTheme="minorHAnsi" w:cstheme="minorHAnsi"/>
          <w:b/>
          <w:sz w:val="22"/>
          <w:szCs w:val="22"/>
        </w:rPr>
      </w:pPr>
    </w:p>
    <w:p w14:paraId="4321A32D"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7C7DCA17"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p>
    <w:p w14:paraId="00BEBEE8"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30AE8926"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32D0397E"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793A6F13"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1C41B5B" w14:textId="77777777" w:rsidR="00312642" w:rsidRPr="00FD67DC" w:rsidRDefault="00312642" w:rsidP="00312642">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6B5A666B" w14:textId="77777777" w:rsidR="00312642"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06181A73" w14:textId="77777777" w:rsidR="00312642" w:rsidRPr="00FD67DC" w:rsidRDefault="00312642" w:rsidP="00312642">
      <w:pPr>
        <w:spacing w:line="276" w:lineRule="auto"/>
        <w:jc w:val="both"/>
        <w:rPr>
          <w:rFonts w:asciiTheme="minorHAnsi" w:hAnsiTheme="minorHAnsi" w:cstheme="minorHAnsi"/>
          <w:sz w:val="22"/>
          <w:szCs w:val="22"/>
        </w:rPr>
      </w:pPr>
    </w:p>
    <w:p w14:paraId="65BB5FC1"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60554EDF" w14:textId="77777777" w:rsidR="00312642" w:rsidRPr="00DA3883"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43BFA019" w14:textId="77777777" w:rsidR="00312642" w:rsidRPr="00DA3883"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296DA5D1" w14:textId="77777777" w:rsidR="00312642" w:rsidRPr="007D2BD1"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6E7F0862" w14:textId="70BB29C5"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D22D97">
        <w:rPr>
          <w:rFonts w:asciiTheme="minorHAnsi" w:hAnsiTheme="minorHAnsi" w:cstheme="minorHAnsi"/>
          <w:color w:val="FF0000"/>
          <w:sz w:val="22"/>
          <w:szCs w:val="22"/>
        </w:rPr>
        <w:t>271.2.</w:t>
      </w:r>
      <w:r>
        <w:rPr>
          <w:rFonts w:asciiTheme="minorHAnsi" w:hAnsiTheme="minorHAnsi" w:cstheme="minorHAnsi"/>
          <w:color w:val="FF0000"/>
          <w:sz w:val="22"/>
          <w:szCs w:val="22"/>
        </w:rPr>
        <w:t>14</w:t>
      </w:r>
      <w:r w:rsidRPr="00D22D97">
        <w:rPr>
          <w:rFonts w:asciiTheme="minorHAnsi" w:hAnsiTheme="minorHAnsi" w:cstheme="minorHAnsi"/>
          <w:color w:val="FF0000"/>
          <w:sz w:val="22"/>
          <w:szCs w:val="22"/>
        </w:rPr>
        <w:t>.2025</w:t>
      </w:r>
      <w:r w:rsidRPr="00FD67DC">
        <w:rPr>
          <w:rFonts w:asciiTheme="minorHAnsi" w:hAnsiTheme="minorHAnsi" w:cstheme="minorHAnsi"/>
          <w:sz w:val="22"/>
          <w:szCs w:val="22"/>
        </w:rPr>
        <w:t>. Wykonawcy winni we wszystkich kontaktach z zamawiającym powoływać wyżej podane oznaczenie.</w:t>
      </w:r>
    </w:p>
    <w:p w14:paraId="1A71800E" w14:textId="77777777" w:rsidR="00312642"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F4A54A8"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Zamawiający, na podstawie art. 310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przewiduje unieważnienie postępowania, jeśli środki publiczne, które zamierzał przeznaczyć na sfinansowanie całości lub części zamówienia nie zostały przyznane.</w:t>
      </w:r>
    </w:p>
    <w:p w14:paraId="319E7405"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26D5A621"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6D53104F" w14:textId="77777777" w:rsidR="00312642" w:rsidRPr="00FD67DC" w:rsidRDefault="00312642" w:rsidP="00312642">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26A59C1D"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3A62D04A"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7BDD72DB"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798C42CD"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14EBAD6F"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306931A6"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posiada Pani/Pan:</w:t>
      </w:r>
    </w:p>
    <w:p w14:paraId="4EA27B3B"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na podstawie art. 15 RODO prawo dostępu do danych osobowych Pani/Pana dotyczących;</w:t>
      </w:r>
    </w:p>
    <w:p w14:paraId="4A5E5CAD"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21163550"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6C07F715"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089EC33D"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4DB4B022" w14:textId="77777777" w:rsidR="00312642" w:rsidRPr="00FD67DC" w:rsidRDefault="00312642" w:rsidP="00312642">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27D5F24D" w14:textId="77777777" w:rsidR="00312642" w:rsidRPr="00FD67DC" w:rsidRDefault="00312642" w:rsidP="00312642">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55BD47AB" w14:textId="77777777" w:rsidR="00312642" w:rsidRPr="00FD67DC" w:rsidRDefault="00312642" w:rsidP="00312642">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597340D6"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58B4A27"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3BA89009"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4CAA8941" w14:textId="77777777" w:rsidR="00312642" w:rsidRPr="00EE72F9" w:rsidRDefault="00312642" w:rsidP="00312642">
      <w:pPr>
        <w:spacing w:line="276" w:lineRule="auto"/>
        <w:jc w:val="both"/>
        <w:rPr>
          <w:sz w:val="22"/>
        </w:rPr>
      </w:pPr>
    </w:p>
    <w:p w14:paraId="4560503D" w14:textId="77777777" w:rsidR="00312642" w:rsidRPr="00BA1543"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1AF314E5" w14:textId="77777777" w:rsidR="00312642" w:rsidRPr="00BA1543" w:rsidRDefault="00312642" w:rsidP="00312642">
      <w:pPr>
        <w:spacing w:line="276" w:lineRule="auto"/>
        <w:rPr>
          <w:rFonts w:asciiTheme="minorHAnsi" w:hAnsiTheme="minorHAnsi" w:cstheme="minorHAnsi"/>
        </w:rPr>
      </w:pPr>
    </w:p>
    <w:p w14:paraId="7A755BC5" w14:textId="2A42436C" w:rsidR="00312642" w:rsidRPr="00B04520" w:rsidRDefault="00312642" w:rsidP="00312642">
      <w:pPr>
        <w:spacing w:line="276" w:lineRule="auto"/>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Pr>
          <w:rFonts w:asciiTheme="minorHAnsi" w:hAnsiTheme="minorHAnsi" w:cstheme="minorHAnsi"/>
          <w:b/>
          <w:bCs/>
          <w:i/>
          <w:iCs/>
          <w:sz w:val="22"/>
          <w:szCs w:val="22"/>
        </w:rPr>
        <w:t>„</w:t>
      </w:r>
      <w:r w:rsidRPr="00D454AE">
        <w:rPr>
          <w:rFonts w:asciiTheme="minorHAnsi" w:hAnsiTheme="minorHAnsi" w:cstheme="minorHAnsi"/>
          <w:b/>
          <w:bCs/>
          <w:i/>
          <w:iCs/>
          <w:sz w:val="22"/>
          <w:szCs w:val="22"/>
        </w:rPr>
        <w:t xml:space="preserve">Zakup </w:t>
      </w:r>
      <w:r>
        <w:rPr>
          <w:rFonts w:asciiTheme="minorHAnsi" w:hAnsiTheme="minorHAnsi" w:cstheme="minorHAnsi"/>
          <w:b/>
          <w:bCs/>
          <w:i/>
          <w:iCs/>
          <w:sz w:val="22"/>
          <w:szCs w:val="22"/>
        </w:rPr>
        <w:t xml:space="preserve">i dostawa 4 szt. mobilnych agregatów prądotwórczych w ramach Programu </w:t>
      </w:r>
      <w:r w:rsidRPr="00D454AE">
        <w:rPr>
          <w:rFonts w:asciiTheme="minorHAnsi" w:hAnsiTheme="minorHAnsi" w:cstheme="minorHAnsi"/>
          <w:b/>
          <w:bCs/>
          <w:i/>
          <w:sz w:val="22"/>
          <w:szCs w:val="22"/>
        </w:rPr>
        <w:t>Ochrony Ludności i Obrony Cywilnej</w:t>
      </w:r>
      <w:r>
        <w:rPr>
          <w:rFonts w:asciiTheme="minorHAnsi" w:hAnsiTheme="minorHAnsi" w:cstheme="minorHAnsi"/>
          <w:b/>
          <w:bCs/>
          <w:i/>
          <w:sz w:val="22"/>
          <w:szCs w:val="22"/>
        </w:rPr>
        <w:t xml:space="preserve"> </w:t>
      </w:r>
      <w:r w:rsidRPr="00B04520">
        <w:rPr>
          <w:rFonts w:asciiTheme="minorHAnsi" w:hAnsiTheme="minorHAnsi" w:cstheme="minorHAnsi"/>
          <w:b/>
          <w:bCs/>
          <w:i/>
          <w:iCs/>
          <w:sz w:val="22"/>
          <w:szCs w:val="22"/>
        </w:rPr>
        <w:t>”</w:t>
      </w:r>
      <w:r>
        <w:rPr>
          <w:rFonts w:asciiTheme="minorHAnsi" w:hAnsiTheme="minorHAnsi" w:cstheme="minorHAnsi"/>
          <w:b/>
          <w:bCs/>
          <w:i/>
          <w:iCs/>
          <w:sz w:val="22"/>
          <w:szCs w:val="22"/>
        </w:rPr>
        <w:t>- czwarte postępowanie.</w:t>
      </w:r>
      <w:r w:rsidRPr="006A1792">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W ramach zadania </w:t>
      </w:r>
      <w:proofErr w:type="spellStart"/>
      <w:r>
        <w:rPr>
          <w:rFonts w:asciiTheme="minorHAnsi" w:hAnsiTheme="minorHAnsi" w:cstheme="minorHAnsi"/>
          <w:b/>
          <w:bCs/>
          <w:i/>
          <w:iCs/>
          <w:sz w:val="22"/>
          <w:szCs w:val="22"/>
        </w:rPr>
        <w:t>pn</w:t>
      </w:r>
      <w:proofErr w:type="spellEnd"/>
      <w:r>
        <w:rPr>
          <w:rFonts w:asciiTheme="minorHAnsi" w:hAnsiTheme="minorHAnsi" w:cstheme="minorHAnsi"/>
          <w:b/>
          <w:bCs/>
          <w:i/>
          <w:iCs/>
          <w:sz w:val="22"/>
          <w:szCs w:val="22"/>
        </w:rPr>
        <w:t xml:space="preserve">: </w:t>
      </w:r>
      <w:r w:rsidRPr="00581ECC">
        <w:rPr>
          <w:rFonts w:asciiTheme="minorHAnsi" w:hAnsiTheme="minorHAnsi" w:cstheme="minorHAnsi"/>
          <w:b/>
          <w:bCs/>
          <w:i/>
          <w:iCs/>
          <w:sz w:val="22"/>
          <w:szCs w:val="22"/>
        </w:rPr>
        <w:t>„Zapewnienie ciągłości</w:t>
      </w:r>
      <w:r>
        <w:rPr>
          <w:rFonts w:asciiTheme="minorHAnsi" w:hAnsiTheme="minorHAnsi" w:cstheme="minorHAnsi"/>
          <w:b/>
          <w:bCs/>
          <w:i/>
          <w:iCs/>
          <w:sz w:val="22"/>
          <w:szCs w:val="22"/>
        </w:rPr>
        <w:t xml:space="preserve"> dostaw energii elektrycznej</w:t>
      </w:r>
    </w:p>
    <w:p w14:paraId="034E98D2" w14:textId="77777777" w:rsidR="00312642" w:rsidRDefault="00312642" w:rsidP="00312642">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79495454" w14:textId="77777777" w:rsidR="00312642" w:rsidRPr="002970D6" w:rsidRDefault="00312642" w:rsidP="00312642">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4 sztuk mobilnych agregatów prądotwórczych o mocy 37 kW na homologowanych przyczepach transportowych.</w:t>
      </w:r>
    </w:p>
    <w:p w14:paraId="0D350286" w14:textId="77777777" w:rsidR="00312642" w:rsidRDefault="00312642" w:rsidP="00312642">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4 sztuki mobilnych agregatów prądotwórczych  fabrycznie nowych, kompletnych, nieuszkodzonych, wolnych od wad konstrukcyjnych, materiałowych, wykonawczych i prawnych, spełniających  parametry opisane w załączniku nr </w:t>
      </w:r>
      <w:r>
        <w:rPr>
          <w:rFonts w:asciiTheme="minorHAnsi" w:hAnsiTheme="minorHAnsi" w:cstheme="minorHAnsi"/>
          <w:b/>
          <w:bCs/>
          <w:color w:val="EE0000"/>
          <w:sz w:val="22"/>
          <w:szCs w:val="22"/>
        </w:rPr>
        <w:t>5</w:t>
      </w:r>
      <w:r w:rsidRPr="007A6FA0">
        <w:rPr>
          <w:rFonts w:asciiTheme="minorHAnsi" w:hAnsiTheme="minorHAnsi" w:cstheme="minorHAnsi"/>
          <w:b/>
          <w:bCs/>
          <w:color w:val="EE0000"/>
          <w:sz w:val="22"/>
          <w:szCs w:val="22"/>
        </w:rPr>
        <w:t xml:space="preserve"> do SWZ</w:t>
      </w:r>
      <w:r w:rsidRPr="007A6FA0">
        <w:rPr>
          <w:rFonts w:asciiTheme="minorHAnsi" w:hAnsiTheme="minorHAnsi" w:cstheme="minorHAnsi"/>
          <w:color w:val="EE0000"/>
          <w:sz w:val="22"/>
          <w:szCs w:val="22"/>
        </w:rPr>
        <w:t xml:space="preserve"> </w:t>
      </w:r>
      <w:r>
        <w:rPr>
          <w:rFonts w:asciiTheme="minorHAnsi" w:hAnsiTheme="minorHAnsi" w:cstheme="minorHAnsi"/>
          <w:sz w:val="22"/>
          <w:szCs w:val="22"/>
        </w:rPr>
        <w:t>– Opisie przedmiotu zamówienia;</w:t>
      </w:r>
    </w:p>
    <w:p w14:paraId="45AE775E" w14:textId="77777777" w:rsidR="00312642" w:rsidRPr="007A6FA0" w:rsidRDefault="00312642" w:rsidP="00312642">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lastRenderedPageBreak/>
        <w:t>3.Klauzula równoważności:</w:t>
      </w:r>
    </w:p>
    <w:p w14:paraId="51261CD3"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5</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3E2CB606"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544FE92F"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18B18439"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tym celu może żądać przedstawienia przez Wykonawcę katalogów producenta danej technologii/systemów/urządzeń/materiałów równoważnych. W szczególności </w:t>
      </w:r>
      <w:r w:rsidRPr="007D2BD1">
        <w:rPr>
          <w:rFonts w:asciiTheme="minorHAnsi" w:hAnsiTheme="minorHAnsi" w:cstheme="minorHAnsi"/>
          <w:sz w:val="22"/>
          <w:szCs w:val="22"/>
        </w:rPr>
        <w:lastRenderedPageBreak/>
        <w:t>technologia/systemy/urządzenia/materiały równoważne oceniane będą pod względem możliwości uzyskania określonych dla technologii/systemów/urządzeń/materiałów poziomu funkcjonalności, kosztów eksploatacji, niezawodności działania.</w:t>
      </w:r>
    </w:p>
    <w:p w14:paraId="6D2A3182"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06BA27EA" w14:textId="77777777" w:rsidR="00312642"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2E99EDD6" w14:textId="77777777" w:rsidR="00312642" w:rsidRPr="00DB17B6" w:rsidRDefault="00312642" w:rsidP="00312642">
      <w:pPr>
        <w:pBdr>
          <w:top w:val="nil"/>
          <w:left w:val="nil"/>
          <w:bottom w:val="nil"/>
          <w:right w:val="nil"/>
          <w:between w:val="nil"/>
        </w:pBdr>
        <w:spacing w:line="276" w:lineRule="auto"/>
        <w:ind w:left="851"/>
        <w:jc w:val="both"/>
        <w:rPr>
          <w:rFonts w:asciiTheme="minorHAnsi" w:hAnsiTheme="minorHAnsi" w:cstheme="minorHAnsi"/>
          <w:sz w:val="22"/>
          <w:szCs w:val="22"/>
        </w:rPr>
      </w:pPr>
    </w:p>
    <w:p w14:paraId="6245FC90" w14:textId="77777777" w:rsidR="00312642" w:rsidRPr="00BA1543" w:rsidRDefault="00312642" w:rsidP="00312642">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31F707A4" w14:textId="77777777" w:rsidR="00312642" w:rsidRPr="00DA3883" w:rsidRDefault="00312642" w:rsidP="00312642">
      <w:pPr>
        <w:autoSpaceDE w:val="0"/>
        <w:autoSpaceDN w:val="0"/>
        <w:spacing w:line="276" w:lineRule="auto"/>
        <w:jc w:val="both"/>
        <w:rPr>
          <w:rFonts w:asciiTheme="minorHAnsi" w:hAnsiTheme="minorHAnsi" w:cstheme="minorHAnsi"/>
          <w:sz w:val="22"/>
        </w:rPr>
      </w:pPr>
    </w:p>
    <w:p w14:paraId="6CECE48F" w14:textId="77777777" w:rsidR="00312642" w:rsidRPr="007A6FA0" w:rsidRDefault="00312642" w:rsidP="00312642">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8</w:t>
      </w:r>
      <w:r w:rsidRPr="007A6FA0">
        <w:rPr>
          <w:rFonts w:asciiTheme="minorHAnsi" w:hAnsiTheme="minorHAnsi" w:cstheme="minorHAnsi"/>
          <w:b/>
          <w:sz w:val="22"/>
          <w:szCs w:val="22"/>
          <w:lang w:eastAsia="zh-CN"/>
        </w:rPr>
        <w:t xml:space="preserve"> grudnia 2025 r. ;</w:t>
      </w:r>
    </w:p>
    <w:p w14:paraId="570934D0" w14:textId="77777777" w:rsidR="00312642" w:rsidRPr="00DA3883" w:rsidRDefault="00312642" w:rsidP="00312642">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14 dni ( okres od odebrania</w:t>
      </w:r>
      <w:r w:rsidRPr="00DA3883">
        <w:rPr>
          <w:rFonts w:asciiTheme="minorHAnsi" w:hAnsiTheme="minorHAnsi" w:cstheme="minorHAnsi"/>
          <w:bCs/>
          <w:sz w:val="22"/>
        </w:rPr>
        <w:t xml:space="preserve"> </w:t>
      </w:r>
      <w:r>
        <w:rPr>
          <w:rFonts w:asciiTheme="minorHAnsi" w:hAnsiTheme="minorHAnsi" w:cstheme="minorHAnsi"/>
          <w:bCs/>
          <w:sz w:val="22"/>
        </w:rPr>
        <w:t>agregatów prądotwórczych</w:t>
      </w:r>
      <w:r w:rsidRPr="00DA3883">
        <w:rPr>
          <w:rFonts w:asciiTheme="minorHAnsi" w:hAnsiTheme="minorHAnsi" w:cstheme="minorHAnsi"/>
          <w:bCs/>
          <w:sz w:val="22"/>
        </w:rPr>
        <w:t xml:space="preserve"> do momentu ostatecznego rozliczenia)</w:t>
      </w:r>
    </w:p>
    <w:p w14:paraId="173BFAF0" w14:textId="1E136E64" w:rsidR="00312642" w:rsidRPr="00DA3883" w:rsidRDefault="00312642" w:rsidP="00312642">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agregaty prądotwórcze </w:t>
      </w:r>
      <w:r w:rsidRPr="00DA3883">
        <w:rPr>
          <w:rFonts w:asciiTheme="minorHAnsi" w:hAnsiTheme="minorHAnsi" w:cstheme="minorHAnsi"/>
          <w:bCs/>
          <w:sz w:val="22"/>
        </w:rPr>
        <w:t xml:space="preserve">wynosi nie mniej niż </w:t>
      </w:r>
      <w:r>
        <w:rPr>
          <w:rFonts w:asciiTheme="minorHAnsi" w:hAnsiTheme="minorHAnsi" w:cstheme="minorHAnsi"/>
          <w:b/>
          <w:bCs/>
          <w:sz w:val="22"/>
        </w:rPr>
        <w:t>24</w:t>
      </w:r>
      <w:r w:rsidRPr="00DA3883">
        <w:rPr>
          <w:rFonts w:asciiTheme="minorHAnsi" w:hAnsiTheme="minorHAnsi" w:cstheme="minorHAnsi"/>
          <w:b/>
          <w:bCs/>
          <w:sz w:val="22"/>
        </w:rPr>
        <w:t xml:space="preserve"> miesi</w:t>
      </w:r>
      <w:r>
        <w:rPr>
          <w:rFonts w:asciiTheme="minorHAnsi" w:hAnsiTheme="minorHAnsi" w:cstheme="minorHAnsi"/>
          <w:b/>
          <w:bCs/>
          <w:sz w:val="22"/>
        </w:rPr>
        <w:t>ące</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agregatów prądotwórczych</w:t>
      </w:r>
      <w:r w:rsidRPr="00DA3883">
        <w:rPr>
          <w:rFonts w:asciiTheme="minorHAnsi" w:hAnsiTheme="minorHAnsi" w:cstheme="minorHAnsi"/>
          <w:bCs/>
          <w:sz w:val="22"/>
        </w:rPr>
        <w:t xml:space="preserve"> przez Zamawiającego , co zostanie poświadczone podpisaniem (bez uwag) protokołu odbioru.</w:t>
      </w:r>
    </w:p>
    <w:p w14:paraId="731687D3" w14:textId="77777777" w:rsidR="00312642" w:rsidRPr="00DA3883" w:rsidRDefault="00312642" w:rsidP="00312642">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4.</w:t>
      </w:r>
      <w:r w:rsidRPr="00DA3883">
        <w:rPr>
          <w:rFonts w:asciiTheme="minorHAnsi" w:hAnsiTheme="minorHAnsi" w:cstheme="minorHAnsi"/>
          <w:bCs/>
          <w:sz w:val="22"/>
        </w:rPr>
        <w:tab/>
      </w:r>
      <w:r>
        <w:rPr>
          <w:rFonts w:asciiTheme="minorHAnsi" w:hAnsiTheme="minorHAnsi" w:cstheme="minorHAnsi"/>
          <w:bCs/>
          <w:sz w:val="22"/>
        </w:rPr>
        <w:t>Agregaty prądotwórcze objęte są</w:t>
      </w:r>
      <w:r w:rsidRPr="00DA3883">
        <w:rPr>
          <w:rFonts w:asciiTheme="minorHAnsi" w:hAnsiTheme="minorHAnsi" w:cstheme="minorHAnsi"/>
          <w:bCs/>
          <w:sz w:val="22"/>
        </w:rPr>
        <w:t xml:space="preserve"> </w:t>
      </w:r>
      <w:r w:rsidRPr="00DA3883">
        <w:rPr>
          <w:rFonts w:asciiTheme="minorHAnsi" w:hAnsiTheme="minorHAnsi" w:cstheme="minorHAnsi"/>
          <w:b/>
          <w:bCs/>
          <w:sz w:val="22"/>
        </w:rPr>
        <w:t>minimum</w:t>
      </w:r>
      <w:r w:rsidRPr="00DA3883">
        <w:rPr>
          <w:rFonts w:asciiTheme="minorHAnsi" w:hAnsiTheme="minorHAnsi" w:cstheme="minorHAnsi"/>
          <w:bCs/>
          <w:sz w:val="22"/>
        </w:rPr>
        <w:t xml:space="preserve"> </w:t>
      </w:r>
      <w:r w:rsidRPr="00DA3883">
        <w:rPr>
          <w:rFonts w:asciiTheme="minorHAnsi" w:hAnsiTheme="minorHAnsi" w:cstheme="minorHAnsi"/>
          <w:b/>
          <w:bCs/>
          <w:sz w:val="22"/>
        </w:rPr>
        <w:t>24 miesięcznym</w:t>
      </w:r>
      <w:r w:rsidRPr="00DA3883">
        <w:rPr>
          <w:rFonts w:asciiTheme="minorHAnsi" w:hAnsiTheme="minorHAnsi" w:cstheme="minorHAnsi"/>
          <w:bCs/>
          <w:sz w:val="22"/>
        </w:rPr>
        <w:t xml:space="preserve"> okresem </w:t>
      </w:r>
      <w:r w:rsidRPr="00DA3883">
        <w:rPr>
          <w:rFonts w:asciiTheme="minorHAnsi" w:hAnsiTheme="minorHAnsi" w:cstheme="minorHAnsi"/>
          <w:b/>
          <w:bCs/>
          <w:sz w:val="22"/>
        </w:rPr>
        <w:t>rękojmi za wady, z zastrzeżeniem, że Wykonawcy mogą udzielić Zamawiającemu   dłuższej rękojmi</w:t>
      </w:r>
      <w:r w:rsidRPr="00DA3883">
        <w:rPr>
          <w:rFonts w:asciiTheme="minorHAnsi" w:hAnsiTheme="minorHAnsi" w:cstheme="minorHAnsi"/>
          <w:bCs/>
          <w:sz w:val="22"/>
        </w:rPr>
        <w:t>, którego bieg rozpoczyna się w dniu odbioru i przejęcia pojazdu przez Zamawiającego , co zostanie poświadczone podpisaniem (bez uwag) protokołu odbioru.</w:t>
      </w:r>
    </w:p>
    <w:p w14:paraId="4265A429" w14:textId="77777777" w:rsidR="00312642" w:rsidRPr="00DA3883" w:rsidRDefault="00312642" w:rsidP="00312642">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5.</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50579222" w14:textId="77777777" w:rsidR="00312642" w:rsidRPr="00EE72F9" w:rsidRDefault="00312642" w:rsidP="00312642">
      <w:pPr>
        <w:tabs>
          <w:tab w:val="num" w:pos="426"/>
        </w:tabs>
        <w:autoSpaceDE w:val="0"/>
        <w:autoSpaceDN w:val="0"/>
        <w:spacing w:line="276" w:lineRule="auto"/>
        <w:ind w:left="426" w:hanging="426"/>
        <w:jc w:val="both"/>
        <w:rPr>
          <w:bCs/>
          <w:sz w:val="22"/>
        </w:rPr>
      </w:pPr>
    </w:p>
    <w:p w14:paraId="4A8E0901"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45FC3F5C" w14:textId="77777777" w:rsidR="00312642" w:rsidRPr="00050B26" w:rsidRDefault="00312642" w:rsidP="00312642">
      <w:pPr>
        <w:pStyle w:val="Tekstpodstawowy"/>
        <w:tabs>
          <w:tab w:val="clear" w:pos="142"/>
        </w:tabs>
        <w:spacing w:line="276" w:lineRule="auto"/>
        <w:rPr>
          <w:rFonts w:asciiTheme="minorHAnsi" w:hAnsiTheme="minorHAnsi" w:cstheme="minorHAnsi"/>
          <w:sz w:val="22"/>
          <w:szCs w:val="22"/>
        </w:rPr>
      </w:pPr>
    </w:p>
    <w:p w14:paraId="791777A6" w14:textId="77777777" w:rsidR="00312642" w:rsidRPr="00050B26"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1456033C" w14:textId="77777777" w:rsidR="00312642" w:rsidRPr="00050B26" w:rsidRDefault="00312642" w:rsidP="00312642">
      <w:pPr>
        <w:pStyle w:val="Tekstpodstawowy"/>
        <w:tabs>
          <w:tab w:val="clear" w:pos="142"/>
        </w:tabs>
        <w:spacing w:line="276" w:lineRule="auto"/>
        <w:ind w:left="426"/>
        <w:rPr>
          <w:rFonts w:asciiTheme="minorHAnsi" w:hAnsiTheme="minorHAnsi" w:cstheme="minorHAnsi"/>
          <w:b/>
          <w:sz w:val="22"/>
          <w:szCs w:val="22"/>
        </w:rPr>
      </w:pPr>
    </w:p>
    <w:p w14:paraId="42C6C5E0" w14:textId="77777777" w:rsidR="00312642" w:rsidRPr="00050B26" w:rsidRDefault="00312642" w:rsidP="00312642">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5EA1FB3D" w14:textId="77777777" w:rsidR="00312642" w:rsidRPr="00050B26" w:rsidRDefault="00312642" w:rsidP="00312642">
      <w:pPr>
        <w:spacing w:line="276" w:lineRule="auto"/>
        <w:jc w:val="both"/>
        <w:rPr>
          <w:rFonts w:asciiTheme="minorHAnsi" w:hAnsiTheme="minorHAnsi" w:cstheme="minorHAnsi"/>
          <w:sz w:val="22"/>
          <w:szCs w:val="22"/>
        </w:rPr>
      </w:pPr>
    </w:p>
    <w:p w14:paraId="07303D56"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60ADCE7A" w14:textId="77777777" w:rsidR="00312642" w:rsidRPr="00050B26" w:rsidRDefault="00312642" w:rsidP="00312642">
      <w:pPr>
        <w:spacing w:line="276" w:lineRule="auto"/>
        <w:ind w:left="851"/>
        <w:jc w:val="both"/>
        <w:rPr>
          <w:rFonts w:asciiTheme="minorHAnsi" w:hAnsiTheme="minorHAnsi" w:cstheme="minorHAnsi"/>
          <w:sz w:val="22"/>
          <w:szCs w:val="22"/>
        </w:rPr>
      </w:pPr>
    </w:p>
    <w:p w14:paraId="06D70E0B"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034268CF" w14:textId="77777777" w:rsidR="00312642" w:rsidRPr="00050B26" w:rsidRDefault="00312642" w:rsidP="00312642">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5BB7224" w14:textId="77777777" w:rsidR="00312642" w:rsidRPr="00050B26" w:rsidRDefault="00312642" w:rsidP="00312642">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 xml:space="preserve">wykonawcę oraz uczestnika konkursu, którego beneficjentem rzeczywistym w rozumieniu ustawy z dnia 1 marca 2018 r. o przeciwdziałaniu praniu pieniędzy oraz </w:t>
      </w:r>
      <w:r w:rsidRPr="00050B26">
        <w:rPr>
          <w:rFonts w:asciiTheme="minorHAnsi" w:hAnsiTheme="minorHAnsi" w:cstheme="minorHAnsi"/>
          <w:sz w:val="22"/>
          <w:szCs w:val="22"/>
        </w:rPr>
        <w:lastRenderedPageBreak/>
        <w:t>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2316979D" w14:textId="77777777" w:rsidR="00312642" w:rsidRPr="00050B26" w:rsidRDefault="00312642" w:rsidP="00312642">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34C325EC"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3D9297F1" w14:textId="77777777" w:rsidR="00312642" w:rsidRPr="00050B26" w:rsidRDefault="00312642" w:rsidP="00312642">
      <w:pPr>
        <w:spacing w:line="276" w:lineRule="auto"/>
        <w:ind w:left="851"/>
        <w:jc w:val="both"/>
        <w:rPr>
          <w:rFonts w:asciiTheme="minorHAnsi" w:hAnsiTheme="minorHAnsi" w:cstheme="minorHAnsi"/>
          <w:sz w:val="22"/>
          <w:szCs w:val="22"/>
        </w:rPr>
      </w:pPr>
    </w:p>
    <w:p w14:paraId="3BDBBDC9"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780C9B90" w14:textId="77777777" w:rsidR="00312642" w:rsidRPr="00050B26" w:rsidRDefault="00312642" w:rsidP="00312642">
      <w:pPr>
        <w:spacing w:line="276" w:lineRule="auto"/>
        <w:ind w:left="851"/>
        <w:jc w:val="both"/>
        <w:rPr>
          <w:rFonts w:asciiTheme="minorHAnsi" w:hAnsiTheme="minorHAnsi" w:cstheme="minorHAnsi"/>
          <w:bCs/>
          <w:sz w:val="22"/>
          <w:szCs w:val="22"/>
        </w:rPr>
      </w:pPr>
    </w:p>
    <w:p w14:paraId="16B8D176"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4B484FF1" w14:textId="77777777" w:rsidR="00312642" w:rsidRPr="00050B26" w:rsidRDefault="00312642" w:rsidP="00312642">
      <w:pPr>
        <w:pStyle w:val="Akapitzlist"/>
        <w:spacing w:line="276" w:lineRule="auto"/>
        <w:ind w:left="0"/>
        <w:rPr>
          <w:rFonts w:asciiTheme="minorHAnsi" w:hAnsiTheme="minorHAnsi" w:cstheme="minorHAnsi"/>
          <w:sz w:val="22"/>
          <w:szCs w:val="22"/>
        </w:rPr>
      </w:pPr>
    </w:p>
    <w:p w14:paraId="302FB39B"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310A2018"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p>
    <w:p w14:paraId="6C7E09F0"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3A50387F"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p>
    <w:p w14:paraId="329420CD"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77BB28F1"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p>
    <w:p w14:paraId="621EA8E6"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4D42696E" w14:textId="77777777" w:rsidR="00312642" w:rsidRDefault="00312642" w:rsidP="00312642">
      <w:pPr>
        <w:pStyle w:val="Tekstpodstawowy"/>
        <w:tabs>
          <w:tab w:val="clear" w:pos="142"/>
        </w:tabs>
        <w:spacing w:line="276" w:lineRule="auto"/>
        <w:ind w:left="1276"/>
        <w:rPr>
          <w:rFonts w:asciiTheme="minorHAnsi" w:hAnsiTheme="minorHAnsi" w:cstheme="minorHAnsi"/>
          <w:bCs/>
          <w:sz w:val="22"/>
          <w:szCs w:val="22"/>
        </w:rPr>
      </w:pPr>
    </w:p>
    <w:p w14:paraId="07D36DB1"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p>
    <w:p w14:paraId="5523D2C7"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5A59EDF7"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p>
    <w:p w14:paraId="470AF61F" w14:textId="77777777" w:rsidR="00312642" w:rsidRDefault="00312642" w:rsidP="00312642">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A90D17E"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
          <w:bCs/>
          <w:sz w:val="22"/>
          <w:szCs w:val="22"/>
        </w:rPr>
      </w:pPr>
    </w:p>
    <w:p w14:paraId="70C17429" w14:textId="77777777" w:rsidR="00312642" w:rsidRPr="00050B26" w:rsidRDefault="00312642" w:rsidP="00312642">
      <w:pPr>
        <w:pStyle w:val="Tekstpodstawowy"/>
        <w:tabs>
          <w:tab w:val="clear" w:pos="142"/>
        </w:tabs>
        <w:ind w:left="1276"/>
        <w:rPr>
          <w:rFonts w:asciiTheme="minorHAnsi" w:hAnsiTheme="minorHAnsi" w:cstheme="minorHAnsi"/>
          <w:b/>
          <w:bCs/>
          <w:sz w:val="22"/>
          <w:szCs w:val="22"/>
        </w:rPr>
      </w:pPr>
    </w:p>
    <w:p w14:paraId="48923B3C"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2CF74DD5" w14:textId="77777777" w:rsidR="00312642" w:rsidRPr="00050B26" w:rsidRDefault="00312642" w:rsidP="00312642">
      <w:pPr>
        <w:pStyle w:val="Tekstpodstawowy"/>
        <w:tabs>
          <w:tab w:val="clear" w:pos="142"/>
        </w:tabs>
        <w:spacing w:line="276" w:lineRule="auto"/>
        <w:rPr>
          <w:rFonts w:asciiTheme="minorHAnsi" w:hAnsiTheme="minorHAnsi" w:cstheme="minorHAnsi"/>
          <w:sz w:val="22"/>
          <w:szCs w:val="22"/>
        </w:rPr>
      </w:pPr>
    </w:p>
    <w:p w14:paraId="2671A079" w14:textId="77777777" w:rsidR="00312642" w:rsidRPr="00050B26" w:rsidRDefault="00312642" w:rsidP="00312642">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w:t>
      </w:r>
      <w:r w:rsidRPr="00050B26">
        <w:rPr>
          <w:rFonts w:asciiTheme="minorHAnsi" w:hAnsiTheme="minorHAnsi" w:cstheme="minorHAnsi"/>
          <w:sz w:val="22"/>
          <w:szCs w:val="22"/>
        </w:rPr>
        <w:lastRenderedPageBreak/>
        <w:t xml:space="preserve">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70260F5B" w14:textId="77777777" w:rsidR="00312642" w:rsidRPr="00050B26" w:rsidRDefault="00312642" w:rsidP="00312642">
      <w:pPr>
        <w:pStyle w:val="Tekstpodstawowy"/>
        <w:spacing w:line="276" w:lineRule="auto"/>
        <w:ind w:left="2138"/>
        <w:rPr>
          <w:rFonts w:asciiTheme="minorHAnsi" w:hAnsiTheme="minorHAnsi" w:cstheme="minorHAnsi"/>
          <w:kern w:val="3"/>
          <w:sz w:val="22"/>
          <w:szCs w:val="22"/>
          <w:lang w:eastAsia="ar-SA"/>
        </w:rPr>
      </w:pPr>
    </w:p>
    <w:p w14:paraId="7F28083F" w14:textId="77777777" w:rsidR="00312642" w:rsidRPr="007A6FA0" w:rsidRDefault="00312642" w:rsidP="00312642">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agregatu prądotwórczego, a wartość tego sprzętu wyniosła </w:t>
      </w:r>
      <w:r>
        <w:rPr>
          <w:rFonts w:asciiTheme="minorHAnsi" w:hAnsiTheme="minorHAnsi" w:cstheme="minorHAnsi"/>
          <w:b/>
          <w:bCs/>
          <w:kern w:val="3"/>
          <w:sz w:val="22"/>
          <w:szCs w:val="22"/>
          <w:lang w:eastAsia="ar-SA"/>
        </w:rPr>
        <w:t>nie mniej niż 50</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3DD15232" w14:textId="77777777" w:rsidR="00312642" w:rsidRPr="00050B26" w:rsidRDefault="00312642" w:rsidP="00312642">
      <w:pPr>
        <w:tabs>
          <w:tab w:val="left" w:pos="142"/>
        </w:tabs>
        <w:spacing w:line="276" w:lineRule="auto"/>
        <w:jc w:val="both"/>
        <w:rPr>
          <w:rFonts w:asciiTheme="minorHAnsi" w:hAnsiTheme="minorHAnsi" w:cstheme="minorHAnsi"/>
          <w:sz w:val="22"/>
          <w:szCs w:val="22"/>
        </w:rPr>
      </w:pPr>
    </w:p>
    <w:p w14:paraId="224B2501" w14:textId="77777777" w:rsidR="00312642" w:rsidRPr="00050B26" w:rsidRDefault="00312642" w:rsidP="00312642">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37D74CDD" w14:textId="77777777" w:rsidR="00312642" w:rsidRPr="00050B26" w:rsidRDefault="00312642" w:rsidP="00312642">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59AC8849"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4AF535BB"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7A6FA0">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do SWZ</w:t>
      </w:r>
      <w:r w:rsidRPr="007A6FA0">
        <w:rPr>
          <w:rFonts w:asciiTheme="minorHAnsi" w:hAnsiTheme="minorHAnsi" w:cstheme="minorHAnsi"/>
          <w:color w:val="FF0000"/>
          <w:sz w:val="22"/>
          <w:szCs w:val="22"/>
        </w:rPr>
        <w:t>.</w:t>
      </w:r>
    </w:p>
    <w:p w14:paraId="3C1B1F46"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778BA02F"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428D3086"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D8B4B7D"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3DBC6D7"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4167E412" w14:textId="77777777" w:rsidR="00312642" w:rsidRPr="00F66F4E" w:rsidRDefault="00312642" w:rsidP="00312642">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49A568B2" w14:textId="77777777" w:rsidR="00312642" w:rsidRPr="00F66F4E" w:rsidRDefault="00312642" w:rsidP="00312642">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69AE4C8D" w14:textId="77777777" w:rsidR="00312642" w:rsidRPr="00F66F4E" w:rsidRDefault="00312642" w:rsidP="00312642">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3) </w:t>
      </w:r>
      <w:r w:rsidRPr="00F66F4E">
        <w:rPr>
          <w:rFonts w:asciiTheme="minorHAnsi" w:hAnsiTheme="minorHAnsi" w:cstheme="minorHAnsi"/>
          <w:sz w:val="22"/>
          <w:szCs w:val="22"/>
        </w:rPr>
        <w:tab/>
        <w:t xml:space="preserve">czy i w jakim zakresie podmiot udostępniający zasoby, na zdolnościach którego wykonawca polega w odniesieniu do warunków udziału w postępowaniu dotyczących wykształcenia, </w:t>
      </w:r>
      <w:r w:rsidRPr="00F66F4E">
        <w:rPr>
          <w:rFonts w:asciiTheme="minorHAnsi" w:hAnsiTheme="minorHAnsi" w:cstheme="minorHAnsi"/>
          <w:sz w:val="22"/>
          <w:szCs w:val="22"/>
        </w:rPr>
        <w:lastRenderedPageBreak/>
        <w:t>kwalifikacji zawodowych lub doświadczenia, zrealizuje dostawy, których wskazane zdolności dotyczą.</w:t>
      </w:r>
    </w:p>
    <w:p w14:paraId="5EBBBFE5"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63BDAC00"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E7C66D8"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826D6D"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7AC92EF"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328DDEB3"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7A546E2" w14:textId="77777777" w:rsidR="00312642" w:rsidRPr="00F66F4E" w:rsidRDefault="00312642" w:rsidP="00312642">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6A9CF503" w14:textId="77777777" w:rsidR="00312642" w:rsidRPr="00F66F4E" w:rsidRDefault="00312642" w:rsidP="00312642">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227054AD" w14:textId="77777777" w:rsidR="00312642" w:rsidRPr="00F66F4E" w:rsidRDefault="00312642" w:rsidP="00312642">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4A6D297E" w14:textId="77777777" w:rsidR="00312642" w:rsidRPr="00F66F4E" w:rsidRDefault="00312642" w:rsidP="00312642">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58DDACE6" w14:textId="77777777" w:rsidR="00312642" w:rsidRPr="00050B26" w:rsidRDefault="00312642" w:rsidP="00312642">
      <w:pPr>
        <w:pStyle w:val="Tekstpodstawowy"/>
        <w:tabs>
          <w:tab w:val="clear" w:pos="142"/>
        </w:tabs>
        <w:spacing w:line="276" w:lineRule="auto"/>
        <w:rPr>
          <w:rFonts w:asciiTheme="minorHAnsi" w:hAnsiTheme="minorHAnsi" w:cstheme="minorHAnsi"/>
          <w:sz w:val="22"/>
          <w:szCs w:val="22"/>
        </w:rPr>
      </w:pPr>
    </w:p>
    <w:p w14:paraId="4B3EE37F" w14:textId="77777777" w:rsidR="00312642" w:rsidRPr="00050B26" w:rsidRDefault="00312642" w:rsidP="00312642">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46AA6736" w14:textId="77777777" w:rsidR="00312642" w:rsidRPr="00050B26" w:rsidRDefault="00312642" w:rsidP="00312642">
      <w:pPr>
        <w:tabs>
          <w:tab w:val="left" w:pos="567"/>
        </w:tabs>
        <w:spacing w:line="276" w:lineRule="auto"/>
        <w:jc w:val="both"/>
        <w:rPr>
          <w:rFonts w:asciiTheme="minorHAnsi" w:hAnsiTheme="minorHAnsi" w:cstheme="minorHAnsi"/>
          <w:color w:val="FF0000"/>
          <w:sz w:val="22"/>
          <w:szCs w:val="22"/>
        </w:rPr>
      </w:pPr>
    </w:p>
    <w:p w14:paraId="124667EC" w14:textId="77777777" w:rsidR="00312642" w:rsidRPr="00EA1D6C" w:rsidRDefault="00312642" w:rsidP="00312642">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EA1D6C">
        <w:rPr>
          <w:rFonts w:asciiTheme="minorHAnsi" w:hAnsiTheme="minorHAnsi" w:cstheme="minorHAnsi"/>
          <w:sz w:val="22"/>
          <w:szCs w:val="22"/>
        </w:rPr>
        <w:t>Pzp</w:t>
      </w:r>
      <w:proofErr w:type="spellEnd"/>
      <w:r w:rsidRPr="00EA1D6C">
        <w:rPr>
          <w:rFonts w:asciiTheme="minorHAnsi" w:hAnsiTheme="minorHAnsi" w:cstheme="minorHAnsi"/>
          <w:sz w:val="22"/>
          <w:szCs w:val="22"/>
        </w:rPr>
        <w:t xml:space="preserve"> i wymienionych w rozdziale IV pkt 1 </w:t>
      </w:r>
      <w:proofErr w:type="spellStart"/>
      <w:r w:rsidRPr="00EA1D6C">
        <w:rPr>
          <w:rFonts w:asciiTheme="minorHAnsi" w:hAnsiTheme="minorHAnsi" w:cstheme="minorHAnsi"/>
          <w:sz w:val="22"/>
          <w:szCs w:val="22"/>
        </w:rPr>
        <w:t>ppkt</w:t>
      </w:r>
      <w:proofErr w:type="spellEnd"/>
      <w:r w:rsidRPr="00EA1D6C">
        <w:rPr>
          <w:rFonts w:asciiTheme="minorHAnsi" w:hAnsiTheme="minorHAnsi" w:cstheme="minorHAnsi"/>
          <w:sz w:val="22"/>
          <w:szCs w:val="22"/>
        </w:rPr>
        <w:t xml:space="preserve">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7A6FA0">
        <w:rPr>
          <w:rFonts w:asciiTheme="minorHAnsi" w:hAnsiTheme="minorHAnsi" w:cstheme="minorHAnsi"/>
          <w:b/>
          <w:color w:val="FF0000"/>
          <w:sz w:val="22"/>
          <w:szCs w:val="22"/>
        </w:rPr>
        <w:t xml:space="preserve">załączniku nr </w:t>
      </w:r>
      <w:r>
        <w:rPr>
          <w:rFonts w:asciiTheme="minorHAnsi" w:hAnsiTheme="minorHAnsi" w:cstheme="minorHAnsi"/>
          <w:b/>
          <w:color w:val="FF0000"/>
          <w:sz w:val="22"/>
          <w:szCs w:val="22"/>
        </w:rPr>
        <w:t>2</w:t>
      </w:r>
      <w:r w:rsidRPr="007A6FA0">
        <w:rPr>
          <w:rFonts w:asciiTheme="minorHAnsi" w:hAnsiTheme="minorHAnsi" w:cstheme="minorHAnsi"/>
          <w:b/>
          <w:color w:val="FF0000"/>
          <w:sz w:val="22"/>
          <w:szCs w:val="22"/>
        </w:rPr>
        <w:t xml:space="preserve"> i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320D9264"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Oświadczenia, o których mowa w ust. poprzednim należy złożyć, pod rygorem nieważności, w formie elektronicznej, tj. w postaci elektronicznej opatrzonej kwalifikowanym podpisem elektronicznym lub postaci elektronicznej opatrzonej podpisem zaufanym lub podpisem </w:t>
      </w:r>
      <w:r w:rsidRPr="00050B26">
        <w:rPr>
          <w:rFonts w:asciiTheme="minorHAnsi" w:eastAsia="Arial" w:hAnsiTheme="minorHAnsi" w:cstheme="minorHAnsi"/>
          <w:sz w:val="22"/>
          <w:szCs w:val="22"/>
        </w:rPr>
        <w:lastRenderedPageBreak/>
        <w:t>osobistym.</w:t>
      </w:r>
    </w:p>
    <w:p w14:paraId="4DB5CF02"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52D360E8"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123994AD"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46097602" w14:textId="77777777" w:rsidR="00312642" w:rsidRPr="00050B26" w:rsidRDefault="00312642" w:rsidP="00312642">
      <w:pPr>
        <w:tabs>
          <w:tab w:val="left" w:pos="567"/>
        </w:tabs>
        <w:spacing w:line="276" w:lineRule="auto"/>
        <w:jc w:val="both"/>
        <w:rPr>
          <w:rFonts w:asciiTheme="minorHAnsi" w:hAnsiTheme="minorHAnsi" w:cstheme="minorHAnsi"/>
          <w:color w:val="FF0000"/>
          <w:sz w:val="22"/>
          <w:szCs w:val="22"/>
        </w:rPr>
      </w:pPr>
    </w:p>
    <w:p w14:paraId="7400F74D" w14:textId="77777777" w:rsidR="00312642" w:rsidRPr="00050B26" w:rsidRDefault="00312642" w:rsidP="00312642">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641C373D" w14:textId="77777777" w:rsidR="00312642" w:rsidRPr="00050B26" w:rsidRDefault="00312642" w:rsidP="00312642">
      <w:pPr>
        <w:widowControl w:val="0"/>
        <w:tabs>
          <w:tab w:val="left" w:pos="609"/>
        </w:tabs>
        <w:spacing w:line="276" w:lineRule="auto"/>
        <w:ind w:right="151"/>
        <w:jc w:val="both"/>
        <w:rPr>
          <w:rFonts w:asciiTheme="minorHAnsi" w:eastAsia="Arial" w:hAnsiTheme="minorHAnsi" w:cstheme="minorHAnsi"/>
          <w:b/>
          <w:sz w:val="22"/>
          <w:szCs w:val="22"/>
        </w:rPr>
      </w:pPr>
    </w:p>
    <w:p w14:paraId="297FF927" w14:textId="77777777" w:rsidR="00312642" w:rsidRPr="00050B26" w:rsidRDefault="00312642" w:rsidP="00312642">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2D86066A" w14:textId="77777777" w:rsidR="00312642" w:rsidRPr="00050B26" w:rsidRDefault="00312642" w:rsidP="00312642">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09B0E1A9" w14:textId="77777777" w:rsidR="00312642" w:rsidRPr="00050B26" w:rsidRDefault="00312642" w:rsidP="00312642">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61CDB901" w14:textId="77777777" w:rsidR="00312642" w:rsidRPr="00050B26" w:rsidRDefault="00312642" w:rsidP="00312642">
      <w:pPr>
        <w:widowControl w:val="0"/>
        <w:tabs>
          <w:tab w:val="left" w:pos="609"/>
        </w:tabs>
        <w:spacing w:line="276" w:lineRule="auto"/>
        <w:ind w:right="151"/>
        <w:jc w:val="both"/>
        <w:rPr>
          <w:rFonts w:asciiTheme="minorHAnsi" w:eastAsia="Arial" w:hAnsiTheme="minorHAnsi" w:cstheme="minorHAnsi"/>
          <w:sz w:val="22"/>
          <w:szCs w:val="22"/>
        </w:rPr>
      </w:pPr>
    </w:p>
    <w:p w14:paraId="2C3F4670" w14:textId="77777777" w:rsidR="00312642" w:rsidRPr="00050B26" w:rsidRDefault="00312642" w:rsidP="00312642">
      <w:pPr>
        <w:spacing w:line="276" w:lineRule="auto"/>
        <w:rPr>
          <w:rFonts w:asciiTheme="minorHAnsi" w:hAnsiTheme="minorHAnsi" w:cstheme="minorHAnsi"/>
          <w:sz w:val="22"/>
          <w:szCs w:val="22"/>
        </w:rPr>
      </w:pPr>
    </w:p>
    <w:p w14:paraId="127DFFD2"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06CBD98F"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5565F440"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43582905"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pełnomocnictwo lub inny dokument potwierdzający umocowanie do reprezentowania wykonawcy – jeżeli w imieniu wykonawcy działa osoba, której umocowanie do jego </w:t>
      </w:r>
      <w:r w:rsidRPr="00050B26">
        <w:rPr>
          <w:rFonts w:asciiTheme="minorHAnsi" w:hAnsiTheme="minorHAnsi" w:cstheme="minorHAnsi"/>
          <w:sz w:val="22"/>
          <w:szCs w:val="22"/>
        </w:rPr>
        <w:lastRenderedPageBreak/>
        <w:t xml:space="preserve">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282A82A1"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01E21DDA"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5A9FF2FC"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45398FA1"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4C47FB6A"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084E8E1" w14:textId="77777777" w:rsidR="00312642" w:rsidRPr="00050B26" w:rsidRDefault="00312642" w:rsidP="00312642">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05E6AB47" w14:textId="77777777" w:rsidR="00312642" w:rsidRPr="00050B26" w:rsidRDefault="00312642" w:rsidP="00312642">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7D45645C" w14:textId="77777777" w:rsidR="00312642" w:rsidRPr="00050B26" w:rsidRDefault="00312642" w:rsidP="00312642">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6A281124" w14:textId="77777777" w:rsidR="00312642" w:rsidRPr="00050B26" w:rsidRDefault="00312642" w:rsidP="00312642">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1E268C70" w14:textId="77777777" w:rsidR="00312642" w:rsidRPr="00050B26" w:rsidRDefault="00312642" w:rsidP="00312642">
      <w:pPr>
        <w:spacing w:line="276" w:lineRule="auto"/>
        <w:jc w:val="both"/>
        <w:rPr>
          <w:rFonts w:asciiTheme="minorHAnsi" w:hAnsiTheme="minorHAnsi" w:cstheme="minorHAnsi"/>
          <w:color w:val="FF0000"/>
          <w:sz w:val="22"/>
          <w:szCs w:val="22"/>
        </w:rPr>
      </w:pPr>
    </w:p>
    <w:p w14:paraId="47E66FEA" w14:textId="77777777" w:rsidR="00312642" w:rsidRPr="00050B26" w:rsidRDefault="00312642" w:rsidP="00312642">
      <w:pPr>
        <w:spacing w:line="276" w:lineRule="auto"/>
        <w:jc w:val="both"/>
        <w:rPr>
          <w:rFonts w:asciiTheme="minorHAnsi" w:hAnsiTheme="minorHAnsi" w:cstheme="minorHAnsi"/>
          <w:b/>
          <w:i/>
          <w:color w:val="FF0000"/>
          <w:sz w:val="22"/>
          <w:szCs w:val="22"/>
        </w:rPr>
      </w:pPr>
    </w:p>
    <w:p w14:paraId="6E604BEE"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7F4DE730" w14:textId="77777777" w:rsidR="00312642" w:rsidRPr="00050B26" w:rsidRDefault="00312642" w:rsidP="00312642">
      <w:pPr>
        <w:spacing w:line="276" w:lineRule="auto"/>
        <w:rPr>
          <w:rFonts w:asciiTheme="minorHAnsi" w:hAnsiTheme="minorHAnsi" w:cstheme="minorHAnsi"/>
          <w:sz w:val="22"/>
          <w:szCs w:val="22"/>
        </w:rPr>
      </w:pPr>
    </w:p>
    <w:p w14:paraId="6AAB14D8" w14:textId="77777777" w:rsidR="00312642" w:rsidRDefault="00312642" w:rsidP="00312642">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404B9EC6" w14:textId="77777777" w:rsidR="00312642" w:rsidRPr="00050B26" w:rsidRDefault="00312642" w:rsidP="00312642">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t xml:space="preserve">Zamawiający nie wymaga wniesienia należytego wykonania umowy. </w:t>
      </w:r>
    </w:p>
    <w:bookmarkEnd w:id="4"/>
    <w:p w14:paraId="3016F8E2" w14:textId="77777777" w:rsidR="00312642" w:rsidRPr="00050B26" w:rsidRDefault="00312642" w:rsidP="00312642">
      <w:pPr>
        <w:spacing w:line="276" w:lineRule="auto"/>
        <w:ind w:left="1418" w:hanging="1418"/>
        <w:jc w:val="both"/>
        <w:rPr>
          <w:rFonts w:asciiTheme="minorHAnsi" w:hAnsiTheme="minorHAnsi" w:cstheme="minorHAnsi"/>
          <w:i/>
          <w:sz w:val="22"/>
          <w:szCs w:val="22"/>
        </w:rPr>
      </w:pPr>
    </w:p>
    <w:p w14:paraId="7C56BF9A"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lastRenderedPageBreak/>
        <w:t>OPIS SPOSOBU PRZYGOTOWANIA OFERT</w:t>
      </w:r>
    </w:p>
    <w:p w14:paraId="27017E6B" w14:textId="77777777" w:rsidR="00312642" w:rsidRPr="004F51F4"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7F5B91EE" w14:textId="77777777" w:rsidR="00312642" w:rsidRPr="004F51F4" w:rsidRDefault="00312642" w:rsidP="00312642">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76FA471A" w14:textId="77777777" w:rsidR="00312642" w:rsidRPr="004F51F4"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7A86A328" w14:textId="77777777" w:rsidR="00312642" w:rsidRPr="00AD718F" w:rsidRDefault="00312642" w:rsidP="00312642">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1A2E3955" w14:textId="77777777" w:rsidR="00312642" w:rsidRPr="00AD718F"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7A5A38D5" w14:textId="77777777" w:rsidR="00312642" w:rsidRPr="00ED265B"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7243441A" w14:textId="77777777" w:rsidR="00312642" w:rsidRPr="00050B26" w:rsidRDefault="00312642" w:rsidP="00312642">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19989C0C" w14:textId="77777777" w:rsidR="00312642" w:rsidRPr="00050B26" w:rsidRDefault="00312642" w:rsidP="00312642">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0EA742EB" w14:textId="77777777" w:rsidR="00312642"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41BEDA95"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1D45C39"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AE2C53B"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48B5500F"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ECD314E"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lastRenderedPageBreak/>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0E95FB7"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409DC5A"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29573F9D"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1330387D"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3BF3CDB4" w14:textId="77777777" w:rsidR="00312642" w:rsidRPr="00050B26" w:rsidRDefault="00312642" w:rsidP="00312642">
      <w:pPr>
        <w:spacing w:line="276" w:lineRule="auto"/>
        <w:jc w:val="both"/>
        <w:rPr>
          <w:rFonts w:asciiTheme="minorHAnsi" w:hAnsiTheme="minorHAnsi" w:cstheme="minorHAnsi"/>
          <w:sz w:val="22"/>
          <w:szCs w:val="22"/>
        </w:rPr>
      </w:pPr>
    </w:p>
    <w:p w14:paraId="1327585F"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6775F027" w14:textId="77777777" w:rsidR="00312642" w:rsidRPr="00050B26" w:rsidRDefault="00312642" w:rsidP="00312642">
      <w:pPr>
        <w:spacing w:line="276" w:lineRule="auto"/>
        <w:jc w:val="both"/>
        <w:rPr>
          <w:rFonts w:asciiTheme="minorHAnsi" w:hAnsiTheme="minorHAnsi" w:cstheme="minorHAnsi"/>
          <w:sz w:val="22"/>
          <w:szCs w:val="22"/>
        </w:rPr>
      </w:pPr>
    </w:p>
    <w:p w14:paraId="328AF87D" w14:textId="77777777" w:rsidR="00312642" w:rsidRPr="00050B26" w:rsidRDefault="00312642" w:rsidP="00312642">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186B919A" w14:textId="77777777" w:rsidR="00312642"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71BD91A4" w14:textId="77777777" w:rsidR="00312642" w:rsidRPr="00754CC3"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10893279" w14:textId="77777777" w:rsidR="00312642" w:rsidRDefault="00312642" w:rsidP="00312642">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7A620307" w14:textId="77777777" w:rsidR="00312642" w:rsidRPr="00754CC3" w:rsidRDefault="00312642" w:rsidP="00312642">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1D1B10CA" w14:textId="77777777"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325FE8EE" w14:textId="14BA1160"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Pr="005F0971">
        <w:t xml:space="preserve"> </w:t>
      </w:r>
      <w:r w:rsidR="00A831D4" w:rsidRPr="00A831D4">
        <w:rPr>
          <w:rFonts w:asciiTheme="minorHAnsi" w:hAnsiTheme="minorHAnsi" w:cstheme="minorHAnsi"/>
          <w:sz w:val="22"/>
          <w:szCs w:val="22"/>
        </w:rPr>
        <w:t>ocds-148610- a70b03da-2fe1-4331-86fb-386b18bac562</w:t>
      </w:r>
      <w:r w:rsidR="00A831D4" w:rsidRPr="00A831D4">
        <w:rPr>
          <w:rFonts w:asciiTheme="minorHAnsi" w:hAnsiTheme="minorHAnsi" w:cstheme="minorHAnsi"/>
          <w:sz w:val="22"/>
          <w:szCs w:val="22"/>
        </w:rPr>
        <w:t xml:space="preserve">. </w:t>
      </w: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2477BA3F" w14:textId="408F441E"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A831D4" w:rsidRPr="00A831D4">
        <w:rPr>
          <w:b/>
          <w:bCs/>
          <w:color w:val="EE0000"/>
        </w:rPr>
        <w:t>ocds-148610- a70b03da-2fe1-4331-86fb-386b18bac562</w:t>
      </w:r>
    </w:p>
    <w:p w14:paraId="2030B6D0" w14:textId="77777777"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07E21EAF" w14:textId="77777777"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lastRenderedPageBreak/>
        <w:t>Przeglądanie i pobieranie publicznej treści dokumentacji postępowania nie wymaga posiadania konta na Platformie e-Zamówienia ani logowania.</w:t>
      </w:r>
    </w:p>
    <w:p w14:paraId="08BFE03E" w14:textId="77777777" w:rsidR="00312642" w:rsidRPr="00050B26" w:rsidRDefault="00312642" w:rsidP="00312642">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440A54A2"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B5DA7D6"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32FCA68B"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18DE842"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5C13E392"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020E4FB4"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7A1462EF"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B247404"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4083C4B3"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1A1DDBA0"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lastRenderedPageBreak/>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067F3F60"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5AAF0CD5" w14:textId="77777777" w:rsidR="00312642" w:rsidRPr="00050B26" w:rsidRDefault="00312642" w:rsidP="00312642">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088C21BF" w14:textId="77777777" w:rsidR="00312642" w:rsidRPr="00050B26" w:rsidRDefault="00312642" w:rsidP="00312642">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02F7521D"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6515DF13" w14:textId="77777777" w:rsidR="00312642" w:rsidRPr="00050B26" w:rsidRDefault="00312642" w:rsidP="00312642">
      <w:pPr>
        <w:spacing w:line="276" w:lineRule="auto"/>
        <w:jc w:val="both"/>
        <w:rPr>
          <w:rFonts w:asciiTheme="minorHAnsi" w:hAnsiTheme="minorHAnsi" w:cstheme="minorHAnsi"/>
          <w:i/>
          <w:sz w:val="22"/>
          <w:szCs w:val="22"/>
        </w:rPr>
      </w:pPr>
    </w:p>
    <w:p w14:paraId="131BD31E"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2D7EF001" w14:textId="77777777" w:rsidR="00312642" w:rsidRPr="00050B26" w:rsidRDefault="00312642" w:rsidP="00312642">
      <w:pPr>
        <w:spacing w:line="276" w:lineRule="auto"/>
        <w:jc w:val="both"/>
        <w:rPr>
          <w:rFonts w:asciiTheme="minorHAnsi" w:hAnsiTheme="minorHAnsi" w:cstheme="minorHAnsi"/>
          <w:b/>
          <w:i/>
          <w:sz w:val="22"/>
          <w:szCs w:val="22"/>
        </w:rPr>
      </w:pPr>
    </w:p>
    <w:p w14:paraId="79CA227D"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A9A043A"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61A117C9" w14:textId="77777777" w:rsidR="00312642"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7C1A5760" w14:textId="77777777" w:rsidR="00312642" w:rsidRPr="006C33B5"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19970A85"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527B418B"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5D8E584C"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38DE3D8B" w14:textId="77777777" w:rsidR="00312642" w:rsidRPr="006C33B5"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40EBC07B" w14:textId="77777777" w:rsidR="00312642" w:rsidRPr="006C33B5"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lastRenderedPageBreak/>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2F44175C"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6240F4BE"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70FA126F"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44A21E5D"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1A73C14F" w14:textId="77777777" w:rsidR="00312642" w:rsidRPr="00EA1D6C" w:rsidRDefault="00312642" w:rsidP="00312642">
      <w:pPr>
        <w:pStyle w:val="Akapitzlist"/>
        <w:spacing w:line="276" w:lineRule="auto"/>
        <w:ind w:left="851"/>
        <w:jc w:val="both"/>
        <w:rPr>
          <w:rFonts w:asciiTheme="minorHAnsi" w:hAnsiTheme="minorHAnsi" w:cstheme="minorHAnsi"/>
          <w:sz w:val="22"/>
        </w:rPr>
      </w:pPr>
    </w:p>
    <w:p w14:paraId="65CBC046" w14:textId="77777777" w:rsidR="00312642" w:rsidRPr="00EA1D6C"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549C2FB2" w14:textId="77777777" w:rsidR="00312642" w:rsidRPr="00EA1D6C" w:rsidRDefault="00312642" w:rsidP="00312642">
      <w:pPr>
        <w:pStyle w:val="Nagwek3"/>
        <w:spacing w:line="276" w:lineRule="auto"/>
        <w:rPr>
          <w:rFonts w:asciiTheme="minorHAnsi" w:hAnsiTheme="minorHAnsi" w:cstheme="minorHAnsi"/>
          <w:caps/>
          <w:sz w:val="22"/>
        </w:rPr>
      </w:pPr>
    </w:p>
    <w:p w14:paraId="06DE9995" w14:textId="260A56E5" w:rsidR="00312642" w:rsidRPr="00EA1D6C" w:rsidRDefault="00312642" w:rsidP="00312642">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Pr>
          <w:rFonts w:asciiTheme="minorHAnsi" w:hAnsiTheme="minorHAnsi" w:cstheme="minorHAnsi"/>
          <w:b/>
          <w:sz w:val="22"/>
        </w:rPr>
        <w:t>26</w:t>
      </w:r>
      <w:r w:rsidRPr="00EA1D6C">
        <w:rPr>
          <w:rFonts w:asciiTheme="minorHAnsi" w:hAnsiTheme="minorHAnsi" w:cstheme="minorHAnsi"/>
          <w:b/>
          <w:sz w:val="22"/>
        </w:rPr>
        <w:t>.1</w:t>
      </w:r>
      <w:r>
        <w:rPr>
          <w:rFonts w:asciiTheme="minorHAnsi" w:hAnsiTheme="minorHAnsi" w:cstheme="minorHAnsi"/>
          <w:b/>
          <w:sz w:val="22"/>
        </w:rPr>
        <w:t>1</w:t>
      </w:r>
      <w:r w:rsidRPr="00EA1D6C">
        <w:rPr>
          <w:rFonts w:asciiTheme="minorHAnsi" w:hAnsiTheme="minorHAnsi" w:cstheme="minorHAnsi"/>
          <w:b/>
          <w:sz w:val="22"/>
        </w:rPr>
        <w:t xml:space="preserve">.2025 r. do godz. 09:00 </w:t>
      </w:r>
      <w:bookmarkEnd w:id="6"/>
      <w:r w:rsidRPr="00EA1D6C">
        <w:rPr>
          <w:rFonts w:asciiTheme="minorHAnsi" w:hAnsiTheme="minorHAnsi" w:cstheme="minorHAnsi"/>
          <w:bCs/>
          <w:color w:val="EE0000"/>
          <w:sz w:val="22"/>
        </w:rPr>
        <w:t>na Platformie E-zamówienia.</w:t>
      </w:r>
    </w:p>
    <w:p w14:paraId="24B69B68" w14:textId="77777777" w:rsidR="00312642" w:rsidRPr="00EA1D6C" w:rsidRDefault="00312642" w:rsidP="00312642">
      <w:pPr>
        <w:pStyle w:val="Tekstpodstawowy"/>
        <w:tabs>
          <w:tab w:val="clear" w:pos="142"/>
          <w:tab w:val="left" w:pos="4056"/>
        </w:tabs>
        <w:spacing w:line="276" w:lineRule="auto"/>
        <w:rPr>
          <w:rFonts w:asciiTheme="minorHAnsi" w:hAnsiTheme="minorHAnsi" w:cstheme="minorHAnsi"/>
          <w:sz w:val="22"/>
        </w:rPr>
      </w:pPr>
    </w:p>
    <w:p w14:paraId="0C74BA0E" w14:textId="77777777" w:rsidR="00312642" w:rsidRPr="00EA1D6C" w:rsidRDefault="00312642" w:rsidP="00312642">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75125352" w14:textId="77777777" w:rsidR="00312642" w:rsidRPr="00EA1D6C"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5B135F62" w14:textId="77777777" w:rsidR="00312642" w:rsidRPr="00EA1D6C" w:rsidRDefault="00312642" w:rsidP="00312642">
      <w:pPr>
        <w:pStyle w:val="Tekstpodstawowy"/>
        <w:spacing w:line="276" w:lineRule="auto"/>
        <w:rPr>
          <w:rFonts w:asciiTheme="minorHAnsi" w:hAnsiTheme="minorHAnsi" w:cstheme="minorHAnsi"/>
          <w:b/>
          <w:sz w:val="22"/>
        </w:rPr>
      </w:pPr>
    </w:p>
    <w:p w14:paraId="113F1057" w14:textId="69F73DE2" w:rsidR="00312642" w:rsidRPr="00561E2B" w:rsidRDefault="00312642" w:rsidP="00312642">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Pr>
          <w:rFonts w:asciiTheme="minorHAnsi" w:hAnsiTheme="minorHAnsi" w:cstheme="minorHAnsi"/>
          <w:b/>
          <w:bCs/>
          <w:sz w:val="22"/>
        </w:rPr>
        <w:t>25</w:t>
      </w:r>
      <w:r w:rsidRPr="00EA1D6C">
        <w:rPr>
          <w:rFonts w:asciiTheme="minorHAnsi" w:hAnsiTheme="minorHAnsi" w:cstheme="minorHAnsi"/>
          <w:b/>
          <w:sz w:val="22"/>
        </w:rPr>
        <w:t>.1</w:t>
      </w:r>
      <w:r>
        <w:rPr>
          <w:rFonts w:asciiTheme="minorHAnsi" w:hAnsiTheme="minorHAnsi" w:cstheme="minorHAnsi"/>
          <w:b/>
          <w:sz w:val="22"/>
        </w:rPr>
        <w:t>2</w:t>
      </w:r>
      <w:r w:rsidRPr="00EA1D6C">
        <w:rPr>
          <w:rFonts w:asciiTheme="minorHAnsi" w:hAnsiTheme="minorHAnsi" w:cstheme="minorHAnsi"/>
          <w:b/>
          <w:sz w:val="22"/>
        </w:rPr>
        <w:t>.2025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3B629600" w14:textId="77777777" w:rsidR="00312642" w:rsidRPr="00561E2B" w:rsidRDefault="00312642" w:rsidP="00312642">
      <w:pPr>
        <w:spacing w:line="276" w:lineRule="auto"/>
        <w:jc w:val="both"/>
        <w:rPr>
          <w:rFonts w:asciiTheme="minorHAnsi" w:hAnsiTheme="minorHAnsi" w:cstheme="minorHAnsi"/>
          <w:b/>
          <w:sz w:val="22"/>
        </w:rPr>
      </w:pPr>
    </w:p>
    <w:p w14:paraId="502140E9" w14:textId="77777777" w:rsidR="00312642" w:rsidRPr="00561E2B"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26C40C5A" w14:textId="77777777" w:rsidR="00312642" w:rsidRPr="00561E2B" w:rsidRDefault="00312642" w:rsidP="00312642">
      <w:pPr>
        <w:spacing w:line="276" w:lineRule="auto"/>
        <w:rPr>
          <w:rFonts w:asciiTheme="minorHAnsi" w:hAnsiTheme="minorHAnsi" w:cstheme="minorHAnsi"/>
          <w:sz w:val="22"/>
        </w:rPr>
      </w:pPr>
    </w:p>
    <w:p w14:paraId="4A1AAD24" w14:textId="44BF75C5" w:rsidR="00312642" w:rsidRPr="00561E2B" w:rsidRDefault="00312642" w:rsidP="00312642">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Pr>
          <w:rFonts w:asciiTheme="minorHAnsi" w:hAnsiTheme="minorHAnsi" w:cstheme="minorHAnsi"/>
          <w:b/>
          <w:sz w:val="22"/>
        </w:rPr>
        <w:t>26</w:t>
      </w:r>
      <w:r w:rsidRPr="00561E2B">
        <w:rPr>
          <w:rFonts w:asciiTheme="minorHAnsi" w:hAnsiTheme="minorHAnsi" w:cstheme="minorHAnsi"/>
          <w:b/>
          <w:sz w:val="22"/>
        </w:rPr>
        <w:t>.1</w:t>
      </w:r>
      <w:r>
        <w:rPr>
          <w:rFonts w:asciiTheme="minorHAnsi" w:hAnsiTheme="minorHAnsi" w:cstheme="minorHAnsi"/>
          <w:b/>
          <w:sz w:val="22"/>
        </w:rPr>
        <w:t>1</w:t>
      </w:r>
      <w:r w:rsidRPr="00561E2B">
        <w:rPr>
          <w:rFonts w:asciiTheme="minorHAnsi" w:hAnsiTheme="minorHAnsi" w:cstheme="minorHAnsi"/>
          <w:b/>
          <w:sz w:val="22"/>
        </w:rPr>
        <w:t>.2025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7C710CC0" w14:textId="77777777" w:rsidR="00312642" w:rsidRPr="00561E2B" w:rsidRDefault="00312642" w:rsidP="00312642">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18031751" w14:textId="77777777" w:rsidR="00312642" w:rsidRPr="00561E2B" w:rsidRDefault="00312642" w:rsidP="00312642">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49A231C0" w14:textId="77777777" w:rsidR="00312642" w:rsidRPr="00561E2B" w:rsidRDefault="00312642" w:rsidP="00312642">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6E5B7CD9" w14:textId="77777777" w:rsidR="00312642" w:rsidRPr="00561E2B" w:rsidRDefault="00312642" w:rsidP="00312642">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46D17277" w14:textId="77777777" w:rsidR="00312642" w:rsidRPr="00FA3145" w:rsidRDefault="00312642" w:rsidP="00312642">
      <w:pPr>
        <w:pStyle w:val="Akapitzlist"/>
        <w:spacing w:line="276" w:lineRule="auto"/>
        <w:ind w:left="851"/>
        <w:jc w:val="both"/>
        <w:rPr>
          <w:sz w:val="22"/>
          <w:szCs w:val="22"/>
        </w:rPr>
      </w:pPr>
    </w:p>
    <w:p w14:paraId="6C210CC7" w14:textId="77777777" w:rsidR="00312642" w:rsidRPr="00D60631"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4AF42E6C" w14:textId="77777777" w:rsidR="00312642" w:rsidRPr="00D60631" w:rsidRDefault="00312642" w:rsidP="00312642">
      <w:pPr>
        <w:pStyle w:val="1"/>
        <w:spacing w:line="276" w:lineRule="auto"/>
        <w:ind w:left="0" w:firstLine="0"/>
        <w:rPr>
          <w:rFonts w:asciiTheme="minorHAnsi" w:hAnsiTheme="minorHAnsi" w:cstheme="minorHAnsi"/>
          <w:b/>
          <w:bCs/>
          <w:color w:val="auto"/>
          <w:sz w:val="22"/>
          <w:szCs w:val="20"/>
        </w:rPr>
      </w:pPr>
    </w:p>
    <w:p w14:paraId="14A5B017"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33612771" w14:textId="77777777" w:rsidR="00312642" w:rsidRPr="00D60631" w:rsidRDefault="00312642" w:rsidP="00312642">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3132DFA9" w14:textId="77777777" w:rsidR="00312642" w:rsidRPr="00D60631" w:rsidRDefault="00312642" w:rsidP="00312642">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Najniższa Cena (C): waga kryterium – 60,00 punktów</w:t>
      </w:r>
    </w:p>
    <w:p w14:paraId="07BB266C" w14:textId="77777777" w:rsidR="00312642" w:rsidRPr="00D60631" w:rsidRDefault="00312642" w:rsidP="00312642">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  (G): waga kryterium – 40,00 punktów</w:t>
      </w:r>
    </w:p>
    <w:p w14:paraId="31BDB069" w14:textId="77777777" w:rsidR="00312642" w:rsidRPr="00D60631" w:rsidRDefault="00312642" w:rsidP="00312642">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Zasady oceny kryterium Najniższa Cena (C).</w:t>
      </w:r>
    </w:p>
    <w:p w14:paraId="5525884E"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1BEB0236"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21C09E59" w14:textId="77777777" w:rsidR="00312642" w:rsidRPr="00D60631" w:rsidRDefault="00312642" w:rsidP="00312642">
      <w:pPr>
        <w:tabs>
          <w:tab w:val="left" w:pos="1276"/>
        </w:tabs>
        <w:spacing w:line="276" w:lineRule="auto"/>
        <w:ind w:left="1276" w:hanging="425"/>
        <w:jc w:val="both"/>
        <w:rPr>
          <w:rFonts w:asciiTheme="minorHAnsi" w:hAnsiTheme="minorHAnsi" w:cstheme="minorHAnsi"/>
          <w:sz w:val="22"/>
          <w:szCs w:val="22"/>
        </w:rPr>
      </w:pPr>
    </w:p>
    <w:p w14:paraId="75876FCE" w14:textId="77777777" w:rsidR="00312642" w:rsidRPr="00D60631" w:rsidRDefault="00312642" w:rsidP="00312642">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25C5F21B" wp14:editId="35E5B40A">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67D929DE" w14:textId="77777777" w:rsidR="00312642" w:rsidRPr="00D60631" w:rsidRDefault="00312642" w:rsidP="00312642">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312642" w:rsidRPr="00D60631" w14:paraId="37CFB37A" w14:textId="77777777" w:rsidTr="0039139D">
        <w:tc>
          <w:tcPr>
            <w:tcW w:w="1417" w:type="dxa"/>
            <w:tcBorders>
              <w:top w:val="single" w:sz="4" w:space="0" w:color="000000"/>
              <w:left w:val="single" w:sz="4" w:space="0" w:color="000000"/>
              <w:bottom w:val="single" w:sz="4" w:space="0" w:color="000000"/>
            </w:tcBorders>
          </w:tcPr>
          <w:p w14:paraId="1128298E"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4CCEE262"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312642" w:rsidRPr="00D60631" w14:paraId="68D9C032" w14:textId="77777777" w:rsidTr="0039139D">
        <w:tc>
          <w:tcPr>
            <w:tcW w:w="1417" w:type="dxa"/>
            <w:tcBorders>
              <w:top w:val="single" w:sz="4" w:space="0" w:color="000000"/>
              <w:left w:val="single" w:sz="4" w:space="0" w:color="000000"/>
              <w:bottom w:val="single" w:sz="4" w:space="0" w:color="000000"/>
            </w:tcBorders>
          </w:tcPr>
          <w:p w14:paraId="36251C0C"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48B1D233"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312642" w:rsidRPr="00D60631" w14:paraId="2CF36F56" w14:textId="77777777" w:rsidTr="0039139D">
        <w:tc>
          <w:tcPr>
            <w:tcW w:w="1417" w:type="dxa"/>
            <w:tcBorders>
              <w:top w:val="single" w:sz="4" w:space="0" w:color="000000"/>
              <w:left w:val="single" w:sz="4" w:space="0" w:color="000000"/>
              <w:bottom w:val="single" w:sz="4" w:space="0" w:color="000000"/>
            </w:tcBorders>
          </w:tcPr>
          <w:p w14:paraId="04AF3DEC"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51E72E98"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312642" w:rsidRPr="00D60631" w14:paraId="74E42896" w14:textId="77777777" w:rsidTr="0039139D">
        <w:tc>
          <w:tcPr>
            <w:tcW w:w="1417" w:type="dxa"/>
            <w:tcBorders>
              <w:top w:val="single" w:sz="4" w:space="0" w:color="000000"/>
              <w:left w:val="single" w:sz="4" w:space="0" w:color="000000"/>
              <w:bottom w:val="single" w:sz="4" w:space="0" w:color="000000"/>
            </w:tcBorders>
          </w:tcPr>
          <w:p w14:paraId="12030239"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1878FF3B"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6FF5FE7F" w14:textId="77777777" w:rsidR="00312642" w:rsidRPr="00D60631" w:rsidRDefault="00312642" w:rsidP="00312642">
      <w:pPr>
        <w:tabs>
          <w:tab w:val="left" w:pos="1276"/>
        </w:tabs>
        <w:spacing w:line="276" w:lineRule="auto"/>
        <w:ind w:left="1276" w:hanging="425"/>
        <w:rPr>
          <w:rFonts w:asciiTheme="minorHAnsi" w:hAnsiTheme="minorHAnsi" w:cstheme="minorHAnsi"/>
          <w:bCs/>
          <w:iCs/>
          <w:sz w:val="22"/>
          <w:szCs w:val="22"/>
        </w:rPr>
      </w:pPr>
    </w:p>
    <w:p w14:paraId="4B313FA7" w14:textId="77777777" w:rsidR="00312642" w:rsidRPr="00D60631" w:rsidRDefault="00312642" w:rsidP="00312642">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 (G).</w:t>
      </w:r>
    </w:p>
    <w:p w14:paraId="3B63CAB3" w14:textId="77777777" w:rsidR="00312642" w:rsidRPr="00D60631" w:rsidRDefault="00312642" w:rsidP="00312642">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 Wykonawca zobowiązany jest wskazać </w:t>
      </w:r>
    </w:p>
    <w:p w14:paraId="7E64177B" w14:textId="77777777" w:rsidR="00312642" w:rsidRPr="00D60631" w:rsidRDefault="00312642" w:rsidP="00312642">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60E5BD72" w14:textId="77777777" w:rsidR="00312642" w:rsidRPr="00D60631" w:rsidRDefault="00312642" w:rsidP="00312642">
      <w:pPr>
        <w:spacing w:line="276" w:lineRule="auto"/>
        <w:ind w:left="360"/>
        <w:jc w:val="both"/>
        <w:rPr>
          <w:rFonts w:asciiTheme="minorHAnsi" w:hAnsiTheme="minorHAnsi" w:cstheme="minorHAnsi"/>
          <w:b/>
          <w:sz w:val="22"/>
          <w:szCs w:val="22"/>
        </w:rPr>
      </w:pPr>
    </w:p>
    <w:p w14:paraId="68A1B0AD" w14:textId="77777777" w:rsidR="00312642" w:rsidRPr="00D60631" w:rsidRDefault="00312642" w:rsidP="00312642">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1E03DD21" w14:textId="1D8162A6" w:rsidR="00312642" w:rsidRPr="00D60631" w:rsidRDefault="00312642" w:rsidP="00312642">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24 miesiące </w:t>
      </w:r>
      <w:r w:rsidRPr="00D60631">
        <w:rPr>
          <w:rFonts w:asciiTheme="minorHAnsi" w:hAnsiTheme="minorHAnsi" w:cstheme="minorHAnsi"/>
          <w:b/>
          <w:sz w:val="22"/>
          <w:szCs w:val="22"/>
        </w:rPr>
        <w:t xml:space="preserve"> – 10,00 pkt,</w:t>
      </w:r>
    </w:p>
    <w:p w14:paraId="1546ED45" w14:textId="48B00F31" w:rsidR="00312642" w:rsidRPr="00D60631" w:rsidRDefault="00312642" w:rsidP="00312642">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36 miesięcy </w:t>
      </w:r>
      <w:r w:rsidRPr="00D60631">
        <w:rPr>
          <w:rFonts w:asciiTheme="minorHAnsi" w:hAnsiTheme="minorHAnsi" w:cstheme="minorHAnsi"/>
          <w:b/>
          <w:sz w:val="22"/>
          <w:szCs w:val="22"/>
        </w:rPr>
        <w:t xml:space="preserve"> – 25,00 pkt, </w:t>
      </w:r>
    </w:p>
    <w:p w14:paraId="5D091EF8" w14:textId="5B5CFBFB" w:rsidR="00312642" w:rsidRPr="00D60631" w:rsidRDefault="00312642" w:rsidP="00312642">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48 miesi</w:t>
      </w:r>
      <w:r w:rsidR="006E0D9C">
        <w:rPr>
          <w:rFonts w:asciiTheme="minorHAnsi" w:hAnsiTheme="minorHAnsi" w:cstheme="minorHAnsi"/>
          <w:b/>
          <w:sz w:val="22"/>
          <w:szCs w:val="22"/>
        </w:rPr>
        <w:t>ę</w:t>
      </w:r>
      <w:r>
        <w:rPr>
          <w:rFonts w:asciiTheme="minorHAnsi" w:hAnsiTheme="minorHAnsi" w:cstheme="minorHAnsi"/>
          <w:b/>
          <w:sz w:val="22"/>
          <w:szCs w:val="22"/>
        </w:rPr>
        <w:t>c</w:t>
      </w:r>
      <w:r w:rsidR="006E0D9C">
        <w:rPr>
          <w:rFonts w:asciiTheme="minorHAnsi" w:hAnsiTheme="minorHAnsi" w:cstheme="minorHAnsi"/>
          <w:b/>
          <w:sz w:val="22"/>
          <w:szCs w:val="22"/>
        </w:rPr>
        <w:t>y</w:t>
      </w:r>
      <w:r w:rsidRPr="00D60631">
        <w:rPr>
          <w:rFonts w:asciiTheme="minorHAnsi" w:hAnsiTheme="minorHAnsi" w:cstheme="minorHAnsi"/>
          <w:b/>
          <w:sz w:val="22"/>
          <w:szCs w:val="22"/>
        </w:rPr>
        <w:t xml:space="preserve"> – 40,00 pkt.</w:t>
      </w:r>
    </w:p>
    <w:p w14:paraId="41F6050F" w14:textId="77777777" w:rsidR="00312642" w:rsidRPr="00D60631" w:rsidRDefault="00312642" w:rsidP="00312642">
      <w:pPr>
        <w:spacing w:line="276" w:lineRule="auto"/>
        <w:ind w:left="720" w:right="176"/>
        <w:jc w:val="both"/>
        <w:rPr>
          <w:rFonts w:asciiTheme="minorHAnsi" w:hAnsiTheme="minorHAnsi" w:cstheme="minorHAnsi"/>
          <w:b/>
          <w:sz w:val="22"/>
          <w:szCs w:val="22"/>
        </w:rPr>
      </w:pPr>
    </w:p>
    <w:p w14:paraId="162CD8AF" w14:textId="5F9D47C2" w:rsidR="00312642" w:rsidRPr="00D60631" w:rsidRDefault="00312642" w:rsidP="00312642">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 za wady</w:t>
      </w:r>
      <w:r>
        <w:rPr>
          <w:rFonts w:asciiTheme="minorHAnsi" w:hAnsiTheme="minorHAnsi" w:cstheme="minorHAnsi"/>
          <w:sz w:val="22"/>
          <w:szCs w:val="22"/>
          <w:lang w:eastAsia="ar-SA"/>
        </w:rPr>
        <w:t xml:space="preserve"> przedmiotu zamówienia wynosi 24</w:t>
      </w:r>
      <w:r w:rsidRPr="00D60631">
        <w:rPr>
          <w:rFonts w:asciiTheme="minorHAnsi" w:hAnsiTheme="minorHAnsi" w:cstheme="minorHAnsi"/>
          <w:sz w:val="22"/>
          <w:szCs w:val="22"/>
          <w:lang w:eastAsia="ar-SA"/>
        </w:rPr>
        <w:t xml:space="preserve"> miesi</w:t>
      </w:r>
      <w:r>
        <w:rPr>
          <w:rFonts w:asciiTheme="minorHAnsi" w:hAnsiTheme="minorHAnsi" w:cstheme="minorHAnsi"/>
          <w:sz w:val="22"/>
          <w:szCs w:val="22"/>
          <w:lang w:eastAsia="ar-SA"/>
        </w:rPr>
        <w:t>ące</w:t>
      </w:r>
      <w:r w:rsidRPr="00D60631">
        <w:rPr>
          <w:rFonts w:asciiTheme="minorHAnsi" w:hAnsiTheme="minorHAnsi" w:cstheme="minorHAnsi"/>
          <w:sz w:val="22"/>
          <w:szCs w:val="22"/>
          <w:lang w:eastAsia="ar-SA"/>
        </w:rPr>
        <w:t>. Wykonawca wskazuje w Formularzu ofertowym oferowany okres gwarancji. W przypadku gdy Wykonawca nie zadeklaruje w Formularzu ofertowym żadnego okresu gwarancji, wówczas Zamawiający przyjmie najkrótszy wymagany okres gwarancj</w:t>
      </w:r>
      <w:r>
        <w:rPr>
          <w:rFonts w:asciiTheme="minorHAnsi" w:hAnsiTheme="minorHAnsi" w:cstheme="minorHAnsi"/>
          <w:sz w:val="22"/>
          <w:szCs w:val="22"/>
          <w:lang w:eastAsia="ar-SA"/>
        </w:rPr>
        <w:t>i wynoszący 24</w:t>
      </w:r>
      <w:r w:rsidRPr="00D60631">
        <w:rPr>
          <w:rFonts w:asciiTheme="minorHAnsi" w:hAnsiTheme="minorHAnsi" w:cstheme="minorHAnsi"/>
          <w:sz w:val="22"/>
          <w:szCs w:val="22"/>
          <w:lang w:eastAsia="ar-SA"/>
        </w:rPr>
        <w:t> miesi</w:t>
      </w:r>
      <w:r>
        <w:rPr>
          <w:rFonts w:asciiTheme="minorHAnsi" w:hAnsiTheme="minorHAnsi" w:cstheme="minorHAnsi"/>
          <w:sz w:val="22"/>
          <w:szCs w:val="22"/>
          <w:lang w:eastAsia="ar-SA"/>
        </w:rPr>
        <w:t>ące</w:t>
      </w:r>
      <w:r w:rsidRPr="00D60631">
        <w:rPr>
          <w:rFonts w:asciiTheme="minorHAnsi" w:hAnsiTheme="minorHAnsi" w:cstheme="minorHAnsi"/>
          <w:sz w:val="22"/>
          <w:szCs w:val="22"/>
          <w:lang w:eastAsia="ar-SA"/>
        </w:rPr>
        <w:t xml:space="preserve">. W przypadku gdy wykonawca zadeklaruje okres gwarancji </w:t>
      </w:r>
      <w:r>
        <w:rPr>
          <w:rFonts w:asciiTheme="minorHAnsi" w:hAnsiTheme="minorHAnsi" w:cstheme="minorHAnsi"/>
          <w:sz w:val="22"/>
          <w:szCs w:val="22"/>
          <w:lang w:eastAsia="ar-SA"/>
        </w:rPr>
        <w:t>krótszy niż 24</w:t>
      </w:r>
      <w:r w:rsidRPr="00D60631">
        <w:rPr>
          <w:rFonts w:asciiTheme="minorHAnsi" w:hAnsiTheme="minorHAnsi" w:cstheme="minorHAnsi"/>
          <w:sz w:val="22"/>
          <w:szCs w:val="22"/>
          <w:lang w:eastAsia="ar-SA"/>
        </w:rPr>
        <w:t xml:space="preserve"> miesi</w:t>
      </w:r>
      <w:r>
        <w:rPr>
          <w:rFonts w:asciiTheme="minorHAnsi" w:hAnsiTheme="minorHAnsi" w:cstheme="minorHAnsi"/>
          <w:sz w:val="22"/>
          <w:szCs w:val="22"/>
          <w:lang w:eastAsia="ar-SA"/>
        </w:rPr>
        <w:t>ące</w:t>
      </w:r>
      <w:r w:rsidRPr="00D60631">
        <w:rPr>
          <w:rFonts w:asciiTheme="minorHAnsi" w:hAnsiTheme="minorHAnsi" w:cstheme="minorHAnsi"/>
          <w:sz w:val="22"/>
          <w:szCs w:val="22"/>
          <w:lang w:eastAsia="ar-SA"/>
        </w:rPr>
        <w:t>, wówczas oferta zostanie odrzucona jako niezgodna z treścią SWZ.</w:t>
      </w:r>
    </w:p>
    <w:p w14:paraId="518168F2" w14:textId="77777777" w:rsidR="00312642" w:rsidRPr="00D60631" w:rsidRDefault="00312642" w:rsidP="00312642">
      <w:pPr>
        <w:spacing w:line="276" w:lineRule="auto"/>
        <w:ind w:left="426" w:right="176"/>
        <w:jc w:val="both"/>
        <w:rPr>
          <w:rFonts w:asciiTheme="minorHAnsi" w:hAnsiTheme="minorHAnsi" w:cstheme="minorHAnsi"/>
          <w:sz w:val="22"/>
          <w:szCs w:val="22"/>
        </w:rPr>
      </w:pPr>
    </w:p>
    <w:p w14:paraId="6CA3EEAB"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6807FF65" w14:textId="77777777" w:rsidR="00312642" w:rsidRPr="00D60631" w:rsidRDefault="00312642" w:rsidP="00312642">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15DDA77A" w14:textId="77777777" w:rsidR="00312642" w:rsidRPr="00D60631" w:rsidRDefault="00312642" w:rsidP="00312642">
      <w:pPr>
        <w:overflowPunct w:val="0"/>
        <w:spacing w:line="276" w:lineRule="auto"/>
        <w:ind w:left="360"/>
        <w:jc w:val="both"/>
        <w:textAlignment w:val="baseline"/>
        <w:rPr>
          <w:rFonts w:asciiTheme="minorHAnsi" w:hAnsiTheme="minorHAnsi" w:cstheme="minorHAnsi"/>
          <w:sz w:val="22"/>
          <w:szCs w:val="22"/>
          <w:lang w:eastAsia="ar-SA"/>
        </w:rPr>
      </w:pPr>
    </w:p>
    <w:p w14:paraId="736EA85E" w14:textId="77777777" w:rsidR="00312642" w:rsidRPr="00D60631" w:rsidRDefault="00312642" w:rsidP="00312642">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773E0F10" w14:textId="77777777" w:rsidR="00312642" w:rsidRPr="00D60631" w:rsidRDefault="00312642" w:rsidP="00312642">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312642" w:rsidRPr="00D60631" w14:paraId="3BC183C1" w14:textId="77777777" w:rsidTr="0039139D">
        <w:tc>
          <w:tcPr>
            <w:tcW w:w="1080" w:type="dxa"/>
            <w:tcBorders>
              <w:top w:val="single" w:sz="4" w:space="0" w:color="000000"/>
              <w:left w:val="single" w:sz="4" w:space="0" w:color="000000"/>
              <w:bottom w:val="single" w:sz="4" w:space="0" w:color="000000"/>
            </w:tcBorders>
          </w:tcPr>
          <w:p w14:paraId="22D4CED4"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590F51C9"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312642" w:rsidRPr="00D60631" w14:paraId="00CD19CE" w14:textId="77777777" w:rsidTr="0039139D">
        <w:tc>
          <w:tcPr>
            <w:tcW w:w="1080" w:type="dxa"/>
            <w:tcBorders>
              <w:top w:val="single" w:sz="4" w:space="0" w:color="000000"/>
              <w:left w:val="single" w:sz="4" w:space="0" w:color="000000"/>
              <w:bottom w:val="single" w:sz="4" w:space="0" w:color="000000"/>
            </w:tcBorders>
          </w:tcPr>
          <w:p w14:paraId="09E866FF"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33C3FCFC"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5763A789" w14:textId="77777777" w:rsidR="00312642" w:rsidRPr="00D60631" w:rsidRDefault="00312642" w:rsidP="00312642">
      <w:pPr>
        <w:spacing w:line="276" w:lineRule="auto"/>
        <w:jc w:val="both"/>
        <w:rPr>
          <w:rFonts w:asciiTheme="minorHAnsi" w:hAnsiTheme="minorHAnsi" w:cstheme="minorHAnsi"/>
          <w:sz w:val="22"/>
          <w:szCs w:val="22"/>
        </w:rPr>
      </w:pPr>
    </w:p>
    <w:p w14:paraId="251F1959"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351C43D3"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1862BCFD"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1EF8E664"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4DAB51CF"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p>
    <w:p w14:paraId="406E56FA" w14:textId="77777777" w:rsidR="00312642" w:rsidRPr="00D60631"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640B9A6C" w14:textId="77777777" w:rsidR="00312642" w:rsidRPr="00D60631" w:rsidRDefault="00312642" w:rsidP="00312642">
      <w:pPr>
        <w:spacing w:line="276" w:lineRule="auto"/>
        <w:rPr>
          <w:rFonts w:asciiTheme="minorHAnsi" w:hAnsiTheme="minorHAnsi" w:cstheme="minorHAnsi"/>
          <w:i/>
        </w:rPr>
      </w:pPr>
    </w:p>
    <w:p w14:paraId="2C3006C4" w14:textId="77777777" w:rsidR="00312642" w:rsidRPr="00D60631" w:rsidRDefault="00312642" w:rsidP="00312642">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49804566" w14:textId="77777777" w:rsidR="00312642" w:rsidRPr="00D60631" w:rsidRDefault="00312642" w:rsidP="00312642">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8F33CBC" w14:textId="77777777" w:rsidR="00312642" w:rsidRPr="00D60631" w:rsidRDefault="00312642" w:rsidP="00312642">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066DDA9B" w14:textId="77777777" w:rsidR="00312642" w:rsidRPr="00D60631" w:rsidRDefault="00312642" w:rsidP="00312642">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3F682BC6" w14:textId="77777777" w:rsidR="00312642" w:rsidRPr="00D60631" w:rsidRDefault="00312642" w:rsidP="00312642">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1A641F00" w14:textId="77777777" w:rsidR="00312642" w:rsidRPr="00D60631" w:rsidRDefault="00312642" w:rsidP="00312642">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0E061533" w14:textId="77777777" w:rsidR="00312642" w:rsidRPr="00DE4359" w:rsidRDefault="00312642" w:rsidP="00312642">
      <w:pPr>
        <w:spacing w:line="276" w:lineRule="auto"/>
        <w:jc w:val="both"/>
        <w:rPr>
          <w:rFonts w:asciiTheme="minorHAnsi" w:hAnsiTheme="minorHAnsi" w:cstheme="minorHAnsi"/>
          <w:sz w:val="22"/>
        </w:rPr>
      </w:pPr>
    </w:p>
    <w:p w14:paraId="1A6802F9" w14:textId="77777777" w:rsidR="00312642" w:rsidRPr="00DE4359"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2346BBD6" w14:textId="77777777" w:rsidR="00312642" w:rsidRPr="00DE4359" w:rsidRDefault="00312642" w:rsidP="00312642">
      <w:pPr>
        <w:spacing w:line="276" w:lineRule="auto"/>
        <w:rPr>
          <w:rFonts w:asciiTheme="minorHAnsi" w:hAnsiTheme="minorHAnsi" w:cstheme="minorHAnsi"/>
        </w:rPr>
      </w:pPr>
    </w:p>
    <w:p w14:paraId="6BA0CF1D" w14:textId="77777777" w:rsidR="00312642" w:rsidRPr="00DE4359" w:rsidRDefault="00312642" w:rsidP="00312642">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EF3553">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4</w:t>
      </w:r>
      <w:r w:rsidRPr="00EF3553">
        <w:rPr>
          <w:rFonts w:asciiTheme="minorHAnsi" w:hAnsiTheme="minorHAnsi" w:cstheme="minorHAnsi"/>
          <w:b/>
          <w:color w:val="FF0000"/>
          <w:sz w:val="22"/>
          <w:szCs w:val="22"/>
        </w:rPr>
        <w:t xml:space="preserve"> do SWZ</w:t>
      </w:r>
      <w:r w:rsidRPr="00EF3553">
        <w:rPr>
          <w:rFonts w:asciiTheme="minorHAnsi" w:hAnsiTheme="minorHAnsi" w:cstheme="minorHAnsi"/>
          <w:color w:val="FF0000"/>
          <w:sz w:val="22"/>
        </w:rPr>
        <w:t>.</w:t>
      </w:r>
    </w:p>
    <w:p w14:paraId="13368B97" w14:textId="77777777" w:rsidR="00312642" w:rsidRPr="00DE4359" w:rsidRDefault="00312642" w:rsidP="00312642">
      <w:pPr>
        <w:spacing w:line="276" w:lineRule="auto"/>
        <w:jc w:val="both"/>
        <w:rPr>
          <w:rFonts w:asciiTheme="minorHAnsi" w:hAnsiTheme="minorHAnsi" w:cstheme="minorHAnsi"/>
          <w:sz w:val="22"/>
        </w:rPr>
      </w:pPr>
    </w:p>
    <w:p w14:paraId="2E95E3AB" w14:textId="77777777" w:rsidR="00312642" w:rsidRPr="00DE4359" w:rsidRDefault="00312642" w:rsidP="00312642">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474BD95C" w14:textId="77777777" w:rsidR="00312642" w:rsidRPr="00DE4359" w:rsidRDefault="00312642" w:rsidP="00312642">
      <w:pPr>
        <w:pStyle w:val="Tekstpodstawowy"/>
        <w:spacing w:line="276" w:lineRule="auto"/>
        <w:rPr>
          <w:rFonts w:asciiTheme="minorHAnsi" w:hAnsiTheme="minorHAnsi" w:cstheme="minorHAnsi"/>
          <w:b/>
          <w:sz w:val="22"/>
        </w:rPr>
      </w:pPr>
    </w:p>
    <w:p w14:paraId="43DE67C7"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46401077"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22C47089"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651E004C"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4AFE5D38"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1B4AFF9E"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273D14CF" w14:textId="77777777" w:rsidR="00312642" w:rsidRPr="00FA3145" w:rsidRDefault="00312642" w:rsidP="00312642">
      <w:pPr>
        <w:pStyle w:val="Tekstpodstawowy"/>
        <w:tabs>
          <w:tab w:val="clear" w:pos="142"/>
        </w:tabs>
        <w:spacing w:line="276" w:lineRule="auto"/>
        <w:rPr>
          <w:bCs/>
          <w:sz w:val="22"/>
        </w:rPr>
      </w:pPr>
    </w:p>
    <w:p w14:paraId="6D541CD1" w14:textId="77777777" w:rsidR="00312642" w:rsidRPr="00DE4359"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4EE2730A" w14:textId="77777777" w:rsidR="00312642" w:rsidRPr="00DE4359" w:rsidRDefault="00312642" w:rsidP="00312642">
      <w:pPr>
        <w:tabs>
          <w:tab w:val="left" w:pos="360"/>
        </w:tabs>
        <w:spacing w:line="276" w:lineRule="auto"/>
        <w:jc w:val="both"/>
        <w:rPr>
          <w:rFonts w:asciiTheme="minorHAnsi" w:hAnsiTheme="minorHAnsi" w:cstheme="minorHAnsi"/>
          <w:sz w:val="22"/>
        </w:rPr>
      </w:pPr>
    </w:p>
    <w:p w14:paraId="60641CE0"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7BB499D5"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5A7E8620"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42EC5C4E"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009DFEA5"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483EBF68"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2A41CCDB"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395CA4DB"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322D4159"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0D30BA5E"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216A631F"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09694DDE"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27DCFA91" w14:textId="77777777" w:rsidR="00312642" w:rsidRPr="00D60631" w:rsidRDefault="00312642" w:rsidP="00312642">
      <w:pPr>
        <w:tabs>
          <w:tab w:val="left" w:pos="426"/>
        </w:tabs>
        <w:spacing w:line="276" w:lineRule="auto"/>
        <w:jc w:val="both"/>
        <w:rPr>
          <w:rFonts w:asciiTheme="minorHAnsi" w:hAnsiTheme="minorHAnsi" w:cstheme="minorHAnsi"/>
          <w:b/>
          <w:sz w:val="22"/>
        </w:rPr>
      </w:pPr>
    </w:p>
    <w:p w14:paraId="63855A00" w14:textId="77777777" w:rsidR="00312642" w:rsidRPr="00D60631"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0DDA9D3A" w14:textId="77777777" w:rsidR="00312642" w:rsidRPr="00D60631" w:rsidRDefault="00312642" w:rsidP="00312642">
      <w:pPr>
        <w:pStyle w:val="Tekstpodstawowy"/>
        <w:spacing w:line="276" w:lineRule="auto"/>
        <w:rPr>
          <w:rFonts w:asciiTheme="minorHAnsi" w:hAnsiTheme="minorHAnsi" w:cstheme="minorHAnsi"/>
          <w:i/>
          <w:sz w:val="22"/>
          <w:szCs w:val="22"/>
        </w:rPr>
      </w:pPr>
    </w:p>
    <w:p w14:paraId="16CE6AC7" w14:textId="77777777" w:rsidR="00312642" w:rsidRPr="00D60631" w:rsidRDefault="00312642" w:rsidP="00312642">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07E30A52" w14:textId="77777777" w:rsidR="00312642" w:rsidRPr="00D60631" w:rsidRDefault="00312642" w:rsidP="00312642">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2C0F9DD8" w14:textId="77777777" w:rsidR="00312642" w:rsidRPr="00D60631" w:rsidRDefault="00312642" w:rsidP="00312642">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6E2727D4" w14:textId="77777777" w:rsidR="00312642" w:rsidRPr="00D60631" w:rsidRDefault="00312642" w:rsidP="00312642">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6F2FF157" w14:textId="77777777" w:rsidR="00312642" w:rsidRPr="00E83257" w:rsidRDefault="00312642" w:rsidP="00312642">
      <w:pPr>
        <w:tabs>
          <w:tab w:val="left" w:pos="360"/>
        </w:tabs>
        <w:autoSpaceDE w:val="0"/>
        <w:autoSpaceDN w:val="0"/>
        <w:spacing w:line="276" w:lineRule="auto"/>
        <w:jc w:val="both"/>
        <w:rPr>
          <w:sz w:val="22"/>
        </w:rPr>
      </w:pPr>
    </w:p>
    <w:p w14:paraId="1D4A843A" w14:textId="77777777" w:rsidR="00312642" w:rsidRPr="00E83257" w:rsidRDefault="00312642" w:rsidP="00312642">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4EBF7505" w14:textId="77777777" w:rsidR="00312642" w:rsidRPr="00E83257" w:rsidRDefault="00312642" w:rsidP="00312642">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312642" w:rsidRPr="00E83257" w14:paraId="7C7B0F0F" w14:textId="77777777" w:rsidTr="0039139D">
        <w:trPr>
          <w:trHeight w:val="333"/>
        </w:trPr>
        <w:tc>
          <w:tcPr>
            <w:tcW w:w="487" w:type="dxa"/>
            <w:tcBorders>
              <w:top w:val="single" w:sz="4" w:space="0" w:color="000000"/>
              <w:left w:val="single" w:sz="4" w:space="0" w:color="auto"/>
              <w:bottom w:val="single" w:sz="4" w:space="0" w:color="auto"/>
            </w:tcBorders>
          </w:tcPr>
          <w:p w14:paraId="21F91364" w14:textId="77777777" w:rsidR="00312642" w:rsidRPr="00E83257" w:rsidRDefault="00312642" w:rsidP="0039139D">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6B699D3F" w14:textId="77777777" w:rsidR="00312642" w:rsidRPr="00E83257" w:rsidRDefault="00312642" w:rsidP="0039139D">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4DC26363" w14:textId="77777777" w:rsidR="00312642" w:rsidRDefault="00312642" w:rsidP="0039139D">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356B9D37" w14:textId="77777777" w:rsidR="00312642" w:rsidRPr="00E83257" w:rsidRDefault="00312642" w:rsidP="0039139D">
            <w:pPr>
              <w:keepNext/>
              <w:suppressAutoHyphens/>
              <w:snapToGrid w:val="0"/>
              <w:spacing w:line="276" w:lineRule="auto"/>
              <w:jc w:val="center"/>
              <w:outlineLvl w:val="2"/>
              <w:rPr>
                <w:b/>
                <w:bCs/>
                <w:sz w:val="22"/>
                <w:lang w:eastAsia="zh-CN"/>
              </w:rPr>
            </w:pPr>
          </w:p>
        </w:tc>
      </w:tr>
      <w:tr w:rsidR="00312642" w:rsidRPr="00E83257" w14:paraId="49AD9F95" w14:textId="77777777" w:rsidTr="0039139D">
        <w:trPr>
          <w:trHeight w:val="247"/>
        </w:trPr>
        <w:tc>
          <w:tcPr>
            <w:tcW w:w="487" w:type="dxa"/>
            <w:tcBorders>
              <w:top w:val="single" w:sz="4" w:space="0" w:color="auto"/>
              <w:left w:val="single" w:sz="4" w:space="0" w:color="auto"/>
              <w:bottom w:val="single" w:sz="4" w:space="0" w:color="000000"/>
            </w:tcBorders>
          </w:tcPr>
          <w:p w14:paraId="17FDA89D" w14:textId="77777777" w:rsidR="00312642" w:rsidRPr="00E83257" w:rsidRDefault="00312642" w:rsidP="0039139D">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793A53BE" w14:textId="77777777" w:rsidR="00312642" w:rsidRPr="00E83257" w:rsidRDefault="00312642" w:rsidP="0039139D">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4DAB8F84" w14:textId="77777777" w:rsidR="00312642" w:rsidRPr="00E83257" w:rsidRDefault="00312642" w:rsidP="0039139D">
            <w:pPr>
              <w:keepNext/>
              <w:suppressAutoHyphens/>
              <w:snapToGrid w:val="0"/>
              <w:spacing w:line="276" w:lineRule="auto"/>
              <w:outlineLvl w:val="2"/>
              <w:rPr>
                <w:b/>
                <w:bCs/>
                <w:sz w:val="22"/>
                <w:lang w:eastAsia="zh-CN"/>
              </w:rPr>
            </w:pPr>
            <w:r>
              <w:rPr>
                <w:b/>
                <w:bCs/>
                <w:sz w:val="22"/>
                <w:lang w:eastAsia="zh-CN"/>
              </w:rPr>
              <w:t xml:space="preserve">Formularz Ofertowy </w:t>
            </w:r>
          </w:p>
        </w:tc>
      </w:tr>
      <w:tr w:rsidR="00312642" w:rsidRPr="00E83257" w14:paraId="72D36B77" w14:textId="77777777" w:rsidTr="0039139D">
        <w:tc>
          <w:tcPr>
            <w:tcW w:w="487" w:type="dxa"/>
            <w:tcBorders>
              <w:top w:val="single" w:sz="4" w:space="0" w:color="000000"/>
              <w:left w:val="single" w:sz="4" w:space="0" w:color="000000"/>
              <w:bottom w:val="single" w:sz="4" w:space="0" w:color="000000"/>
            </w:tcBorders>
          </w:tcPr>
          <w:p w14:paraId="24CFEECC"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5808CF84" w14:textId="77777777" w:rsidR="00312642" w:rsidRPr="00E83257" w:rsidRDefault="00312642" w:rsidP="0039139D">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650DD8C3" w14:textId="77777777" w:rsidR="00312642" w:rsidRPr="00E83257" w:rsidRDefault="00312642" w:rsidP="0039139D">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5F419A90" w14:textId="77777777" w:rsidR="00312642" w:rsidRPr="00E83257" w:rsidRDefault="00312642" w:rsidP="0039139D">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312642" w:rsidRPr="00E83257" w14:paraId="021AF227" w14:textId="77777777" w:rsidTr="0039139D">
        <w:tc>
          <w:tcPr>
            <w:tcW w:w="487" w:type="dxa"/>
            <w:tcBorders>
              <w:top w:val="single" w:sz="4" w:space="0" w:color="000000"/>
              <w:left w:val="single" w:sz="4" w:space="0" w:color="000000"/>
              <w:bottom w:val="single" w:sz="4" w:space="0" w:color="000000"/>
            </w:tcBorders>
          </w:tcPr>
          <w:p w14:paraId="33CE9650"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17694C10" w14:textId="77777777" w:rsidR="00312642" w:rsidRPr="00E83257" w:rsidRDefault="00312642" w:rsidP="0039139D">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3D97C2DA" w14:textId="77777777" w:rsidR="00312642" w:rsidRPr="00E83257" w:rsidRDefault="00312642" w:rsidP="0039139D">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312642" w:rsidRPr="00E83257" w14:paraId="01FCE8E1" w14:textId="77777777" w:rsidTr="0039139D">
        <w:tc>
          <w:tcPr>
            <w:tcW w:w="487" w:type="dxa"/>
            <w:tcBorders>
              <w:top w:val="single" w:sz="4" w:space="0" w:color="000000"/>
              <w:left w:val="single" w:sz="4" w:space="0" w:color="000000"/>
              <w:bottom w:val="single" w:sz="4" w:space="0" w:color="000000"/>
            </w:tcBorders>
          </w:tcPr>
          <w:p w14:paraId="5EC8642F"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48B84AC0" w14:textId="77777777" w:rsidR="00312642" w:rsidRPr="00E83257" w:rsidRDefault="00312642" w:rsidP="0039139D">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611872E7" w14:textId="77777777" w:rsidR="00312642" w:rsidRPr="00E83257" w:rsidRDefault="00312642" w:rsidP="0039139D">
            <w:pPr>
              <w:suppressAutoHyphens/>
              <w:snapToGrid w:val="0"/>
              <w:spacing w:line="276" w:lineRule="auto"/>
              <w:jc w:val="both"/>
              <w:rPr>
                <w:sz w:val="22"/>
                <w:lang w:eastAsia="zh-CN"/>
              </w:rPr>
            </w:pPr>
            <w:r>
              <w:rPr>
                <w:sz w:val="22"/>
                <w:lang w:eastAsia="zh-CN"/>
              </w:rPr>
              <w:t>Projekt Umowy</w:t>
            </w:r>
          </w:p>
        </w:tc>
      </w:tr>
      <w:tr w:rsidR="00312642" w:rsidRPr="00E83257" w14:paraId="4100106F" w14:textId="77777777" w:rsidTr="0039139D">
        <w:tc>
          <w:tcPr>
            <w:tcW w:w="487" w:type="dxa"/>
            <w:tcBorders>
              <w:top w:val="single" w:sz="4" w:space="0" w:color="000000"/>
              <w:left w:val="single" w:sz="4" w:space="0" w:color="000000"/>
              <w:bottom w:val="single" w:sz="4" w:space="0" w:color="000000"/>
            </w:tcBorders>
          </w:tcPr>
          <w:p w14:paraId="5E7EB4DC"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3DED53CF" w14:textId="77777777" w:rsidR="00312642" w:rsidRPr="00E83257" w:rsidRDefault="00312642" w:rsidP="0039139D">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54B50EA7" w14:textId="77777777" w:rsidR="00312642" w:rsidRPr="00E83257" w:rsidRDefault="00312642" w:rsidP="0039139D">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3A833E27" w14:textId="77777777" w:rsidR="00312642" w:rsidRDefault="00312642" w:rsidP="00312642">
      <w:pPr>
        <w:suppressAutoHyphens/>
        <w:snapToGrid w:val="0"/>
        <w:spacing w:line="276" w:lineRule="auto"/>
        <w:rPr>
          <w:sz w:val="24"/>
          <w:szCs w:val="22"/>
          <w:lang w:eastAsia="zh-CN"/>
        </w:rPr>
      </w:pPr>
    </w:p>
    <w:p w14:paraId="57F4311D" w14:textId="77777777" w:rsidR="00312642" w:rsidRDefault="00312642" w:rsidP="00312642">
      <w:pPr>
        <w:suppressAutoHyphens/>
        <w:snapToGrid w:val="0"/>
        <w:spacing w:line="276" w:lineRule="auto"/>
        <w:rPr>
          <w:color w:val="FF0000"/>
          <w:sz w:val="22"/>
          <w:szCs w:val="22"/>
        </w:rPr>
      </w:pPr>
    </w:p>
    <w:p w14:paraId="4E0D024C" w14:textId="77777777" w:rsidR="00312642" w:rsidRDefault="00312642" w:rsidP="00312642">
      <w:pPr>
        <w:suppressAutoHyphens/>
        <w:snapToGrid w:val="0"/>
        <w:spacing w:line="276" w:lineRule="auto"/>
        <w:rPr>
          <w:color w:val="FF0000"/>
          <w:sz w:val="22"/>
          <w:szCs w:val="22"/>
        </w:rPr>
      </w:pPr>
    </w:p>
    <w:p w14:paraId="641DF280" w14:textId="77777777" w:rsidR="00312642" w:rsidRDefault="00312642" w:rsidP="00312642">
      <w:pPr>
        <w:suppressAutoHyphens/>
        <w:snapToGrid w:val="0"/>
        <w:spacing w:line="276" w:lineRule="auto"/>
        <w:rPr>
          <w:color w:val="FF0000"/>
          <w:sz w:val="22"/>
          <w:szCs w:val="22"/>
        </w:rPr>
      </w:pPr>
    </w:p>
    <w:p w14:paraId="6BED10FB" w14:textId="77777777" w:rsidR="00312642" w:rsidRDefault="00312642" w:rsidP="00312642">
      <w:pPr>
        <w:suppressAutoHyphens/>
        <w:snapToGrid w:val="0"/>
        <w:spacing w:line="276" w:lineRule="auto"/>
        <w:rPr>
          <w:color w:val="FF0000"/>
          <w:sz w:val="22"/>
          <w:szCs w:val="22"/>
        </w:rPr>
      </w:pPr>
    </w:p>
    <w:p w14:paraId="00B17063" w14:textId="77777777" w:rsidR="00312642" w:rsidRDefault="00312642" w:rsidP="00312642">
      <w:pPr>
        <w:suppressAutoHyphens/>
        <w:snapToGrid w:val="0"/>
        <w:spacing w:line="276" w:lineRule="auto"/>
        <w:rPr>
          <w:color w:val="FF0000"/>
          <w:sz w:val="22"/>
          <w:szCs w:val="22"/>
        </w:rPr>
      </w:pPr>
    </w:p>
    <w:p w14:paraId="32313B8A" w14:textId="77777777" w:rsidR="00312642" w:rsidRDefault="00312642" w:rsidP="00312642"/>
    <w:p w14:paraId="63B3E74F"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2CA7" w14:textId="77777777" w:rsidR="00EF645C" w:rsidRDefault="00EF645C" w:rsidP="00312642">
      <w:r>
        <w:separator/>
      </w:r>
    </w:p>
  </w:endnote>
  <w:endnote w:type="continuationSeparator" w:id="0">
    <w:p w14:paraId="44D251C9" w14:textId="77777777" w:rsidR="00EF645C" w:rsidRDefault="00EF645C" w:rsidP="0031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FBFD" w14:textId="77777777" w:rsidR="00EF645C" w:rsidRDefault="00EF645C" w:rsidP="00312642">
      <w:r>
        <w:separator/>
      </w:r>
    </w:p>
  </w:footnote>
  <w:footnote w:type="continuationSeparator" w:id="0">
    <w:p w14:paraId="7D79222E" w14:textId="77777777" w:rsidR="00EF645C" w:rsidRDefault="00EF645C" w:rsidP="00312642">
      <w:r>
        <w:continuationSeparator/>
      </w:r>
    </w:p>
  </w:footnote>
  <w:footnote w:id="1">
    <w:p w14:paraId="4838A4A2" w14:textId="77777777" w:rsidR="00312642" w:rsidRDefault="00312642" w:rsidP="00312642">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4010B777" w14:textId="77777777" w:rsidR="00312642" w:rsidRDefault="00312642" w:rsidP="00312642">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751596">
    <w:abstractNumId w:val="12"/>
  </w:num>
  <w:num w:numId="2" w16cid:durableId="13849656">
    <w:abstractNumId w:val="20"/>
  </w:num>
  <w:num w:numId="3" w16cid:durableId="805897136">
    <w:abstractNumId w:val="22"/>
  </w:num>
  <w:num w:numId="4" w16cid:durableId="1896041859">
    <w:abstractNumId w:val="26"/>
  </w:num>
  <w:num w:numId="5" w16cid:durableId="1493788587">
    <w:abstractNumId w:val="8"/>
  </w:num>
  <w:num w:numId="6" w16cid:durableId="787630133">
    <w:abstractNumId w:val="29"/>
  </w:num>
  <w:num w:numId="7" w16cid:durableId="1496264664">
    <w:abstractNumId w:val="25"/>
  </w:num>
  <w:num w:numId="8" w16cid:durableId="1486553347">
    <w:abstractNumId w:val="10"/>
  </w:num>
  <w:num w:numId="9" w16cid:durableId="1847938251">
    <w:abstractNumId w:val="11"/>
  </w:num>
  <w:num w:numId="10" w16cid:durableId="121847898">
    <w:abstractNumId w:val="18"/>
  </w:num>
  <w:num w:numId="11" w16cid:durableId="290862274">
    <w:abstractNumId w:val="23"/>
  </w:num>
  <w:num w:numId="12" w16cid:durableId="105095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264328">
    <w:abstractNumId w:val="15"/>
  </w:num>
  <w:num w:numId="14" w16cid:durableId="1851484515">
    <w:abstractNumId w:val="14"/>
  </w:num>
  <w:num w:numId="15" w16cid:durableId="1518960545">
    <w:abstractNumId w:val="28"/>
  </w:num>
  <w:num w:numId="16" w16cid:durableId="1210798155">
    <w:abstractNumId w:val="6"/>
  </w:num>
  <w:num w:numId="17" w16cid:durableId="312568073">
    <w:abstractNumId w:val="21"/>
  </w:num>
  <w:num w:numId="18" w16cid:durableId="948124128">
    <w:abstractNumId w:val="7"/>
  </w:num>
  <w:num w:numId="19" w16cid:durableId="1713458788">
    <w:abstractNumId w:val="30"/>
  </w:num>
  <w:num w:numId="20" w16cid:durableId="1855606726">
    <w:abstractNumId w:val="24"/>
  </w:num>
  <w:num w:numId="21" w16cid:durableId="539973514">
    <w:abstractNumId w:val="5"/>
  </w:num>
  <w:num w:numId="22" w16cid:durableId="1921063994">
    <w:abstractNumId w:val="0"/>
  </w:num>
  <w:num w:numId="23" w16cid:durableId="2108387061">
    <w:abstractNumId w:val="2"/>
  </w:num>
  <w:num w:numId="24" w16cid:durableId="983777966">
    <w:abstractNumId w:val="3"/>
  </w:num>
  <w:num w:numId="25" w16cid:durableId="1517693145">
    <w:abstractNumId w:val="4"/>
  </w:num>
  <w:num w:numId="26" w16cid:durableId="995649764">
    <w:abstractNumId w:val="1"/>
  </w:num>
  <w:num w:numId="27" w16cid:durableId="1107000823">
    <w:abstractNumId w:val="9"/>
  </w:num>
  <w:num w:numId="28" w16cid:durableId="486820991">
    <w:abstractNumId w:val="17"/>
  </w:num>
  <w:num w:numId="29" w16cid:durableId="1872691212">
    <w:abstractNumId w:val="13"/>
  </w:num>
  <w:num w:numId="30" w16cid:durableId="618148430">
    <w:abstractNumId w:val="16"/>
  </w:num>
  <w:num w:numId="31" w16cid:durableId="161555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42"/>
    <w:rsid w:val="001D554E"/>
    <w:rsid w:val="00303E48"/>
    <w:rsid w:val="00312642"/>
    <w:rsid w:val="00345FC2"/>
    <w:rsid w:val="004639E7"/>
    <w:rsid w:val="006E0D9C"/>
    <w:rsid w:val="00832BB3"/>
    <w:rsid w:val="00A7260D"/>
    <w:rsid w:val="00A831D4"/>
    <w:rsid w:val="00AD18B5"/>
    <w:rsid w:val="00D26DCC"/>
    <w:rsid w:val="00E82668"/>
    <w:rsid w:val="00EF645C"/>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B69A"/>
  <w15:chartTrackingRefBased/>
  <w15:docId w15:val="{9485950A-51E9-4CF6-B38D-BFEEAD07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642"/>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312642"/>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312642"/>
    <w:rPr>
      <w:rFonts w:ascii="Times New Roman" w:eastAsia="Times New Roman" w:hAnsi="Times New Roman" w:cs="Times New Roman"/>
      <w:sz w:val="28"/>
      <w:lang w:eastAsia="pl-PL"/>
    </w:rPr>
  </w:style>
  <w:style w:type="character" w:styleId="Hipercze">
    <w:name w:val="Hyperlink"/>
    <w:uiPriority w:val="99"/>
    <w:rsid w:val="00312642"/>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312642"/>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312642"/>
    <w:rPr>
      <w:rFonts w:ascii="Times New Roman" w:eastAsia="Times New Roman" w:hAnsi="Times New Roman" w:cs="Times New Roman"/>
      <w:lang w:eastAsia="pl-PL"/>
    </w:rPr>
  </w:style>
  <w:style w:type="character" w:styleId="Odwoanieprzypisudolnego">
    <w:name w:val="footnote reference"/>
    <w:uiPriority w:val="99"/>
    <w:rsid w:val="00312642"/>
    <w:rPr>
      <w:vertAlign w:val="superscript"/>
    </w:rPr>
  </w:style>
  <w:style w:type="paragraph" w:customStyle="1" w:styleId="1">
    <w:name w:val="1."/>
    <w:basedOn w:val="Normalny"/>
    <w:rsid w:val="00312642"/>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20</Pages>
  <Words>7477</Words>
  <Characters>44865</Characters>
  <Application>Microsoft Office Word</Application>
  <DocSecurity>0</DocSecurity>
  <Lines>373</Lines>
  <Paragraphs>104</Paragraphs>
  <ScaleCrop>false</ScaleCrop>
  <Company/>
  <LinksUpToDate>false</LinksUpToDate>
  <CharactersWithSpaces>52238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4</cp:revision>
  <cp:lastPrinted>2025-11-18T11:32:00Z</cp:lastPrinted>
  <dcterms:created xsi:type="dcterms:W3CDTF">2025-11-17T13:03:00Z</dcterms:created>
  <dcterms:modified xsi:type="dcterms:W3CDTF">2025-11-18T12:25:00Z</dcterms:modified>
</cp:coreProperties>
</file>